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053EE443" w:rsidR="003E7DC2" w:rsidRPr="00734C94" w:rsidRDefault="004E755C" w:rsidP="004E755C">
      <w:pPr>
        <w:tabs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</w:rPr>
        <w:t>BZP.271.</w:t>
      </w:r>
      <w:r w:rsidR="00BB1751" w:rsidRPr="00734C94">
        <w:rPr>
          <w:rFonts w:asciiTheme="majorHAnsi" w:hAnsiTheme="majorHAnsi" w:cstheme="majorHAnsi"/>
          <w:sz w:val="24"/>
          <w:szCs w:val="24"/>
        </w:rPr>
        <w:t>8</w:t>
      </w:r>
      <w:r w:rsidR="00407B77" w:rsidRPr="00734C94">
        <w:rPr>
          <w:rFonts w:asciiTheme="majorHAnsi" w:hAnsiTheme="majorHAnsi" w:cstheme="majorHAnsi"/>
          <w:sz w:val="24"/>
          <w:szCs w:val="24"/>
        </w:rPr>
        <w:t>.2025</w:t>
      </w:r>
      <w:r w:rsidRPr="00734C94">
        <w:rPr>
          <w:rFonts w:asciiTheme="majorHAnsi" w:hAnsiTheme="majorHAnsi" w:cstheme="majorHAnsi"/>
          <w:sz w:val="24"/>
          <w:szCs w:val="24"/>
        </w:rPr>
        <w:tab/>
        <w:t xml:space="preserve">Skoczów, </w:t>
      </w:r>
      <w:r w:rsidR="00407B77" w:rsidRPr="00734C94">
        <w:rPr>
          <w:rFonts w:asciiTheme="majorHAnsi" w:hAnsiTheme="majorHAnsi" w:cstheme="majorHAnsi"/>
          <w:sz w:val="24"/>
          <w:szCs w:val="24"/>
        </w:rPr>
        <w:t>2</w:t>
      </w:r>
      <w:r w:rsidR="00B70B74" w:rsidRPr="00734C94">
        <w:rPr>
          <w:rFonts w:asciiTheme="majorHAnsi" w:hAnsiTheme="majorHAnsi" w:cstheme="majorHAnsi"/>
          <w:sz w:val="24"/>
          <w:szCs w:val="24"/>
        </w:rPr>
        <w:t>8</w:t>
      </w:r>
      <w:r w:rsidR="00407B77" w:rsidRPr="00734C94">
        <w:rPr>
          <w:rFonts w:asciiTheme="majorHAnsi" w:hAnsiTheme="majorHAnsi" w:cstheme="majorHAnsi"/>
          <w:sz w:val="24"/>
          <w:szCs w:val="24"/>
        </w:rPr>
        <w:t>.0</w:t>
      </w:r>
      <w:r w:rsidR="00BB1751" w:rsidRPr="00734C94">
        <w:rPr>
          <w:rFonts w:asciiTheme="majorHAnsi" w:hAnsiTheme="majorHAnsi" w:cstheme="majorHAnsi"/>
          <w:sz w:val="24"/>
          <w:szCs w:val="24"/>
        </w:rPr>
        <w:t>4</w:t>
      </w:r>
      <w:r w:rsidR="00407B77" w:rsidRPr="00734C94">
        <w:rPr>
          <w:rFonts w:asciiTheme="majorHAnsi" w:hAnsiTheme="majorHAnsi" w:cstheme="majorHAnsi"/>
          <w:sz w:val="24"/>
          <w:szCs w:val="24"/>
        </w:rPr>
        <w:t>.2025</w:t>
      </w:r>
    </w:p>
    <w:p w14:paraId="6FD47014" w14:textId="77777777" w:rsidR="00407B77" w:rsidRPr="00734C94" w:rsidRDefault="00407B77" w:rsidP="004E755C">
      <w:pPr>
        <w:tabs>
          <w:tab w:val="right" w:pos="9072"/>
        </w:tabs>
        <w:rPr>
          <w:rFonts w:asciiTheme="majorHAnsi" w:hAnsiTheme="majorHAnsi" w:cstheme="majorHAnsi"/>
          <w:sz w:val="24"/>
          <w:szCs w:val="24"/>
        </w:rPr>
      </w:pPr>
    </w:p>
    <w:p w14:paraId="59A8286B" w14:textId="1AA758A0" w:rsidR="004E755C" w:rsidRPr="00734C94" w:rsidRDefault="004E755C" w:rsidP="004E755C">
      <w:pPr>
        <w:tabs>
          <w:tab w:val="right" w:pos="9072"/>
        </w:tabs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734C94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4F60E449" w14:textId="77777777" w:rsidR="00BB1751" w:rsidRPr="00734C94" w:rsidRDefault="00BB1751" w:rsidP="004E755C">
      <w:pPr>
        <w:tabs>
          <w:tab w:val="right" w:pos="9072"/>
        </w:tabs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2C1C7C68" w14:textId="18D9039A" w:rsidR="004E755C" w:rsidRPr="00734C94" w:rsidRDefault="00407B77" w:rsidP="00BB1751">
      <w:pPr>
        <w:tabs>
          <w:tab w:val="right" w:pos="9072"/>
        </w:tabs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734C94">
        <w:rPr>
          <w:rFonts w:asciiTheme="majorHAnsi" w:hAnsiTheme="majorHAnsi" w:cstheme="majorHAnsi"/>
          <w:b/>
          <w:bCs/>
          <w:sz w:val="24"/>
          <w:szCs w:val="24"/>
        </w:rPr>
        <w:t xml:space="preserve">Dotyczy postępowania o udzielenie zamówienia publicznego, którego przedmiotem jest </w:t>
      </w:r>
      <w:r w:rsidR="00BB1751" w:rsidRPr="00734C94">
        <w:rPr>
          <w:rFonts w:asciiTheme="majorHAnsi" w:hAnsiTheme="majorHAnsi" w:cstheme="majorHAnsi"/>
          <w:b/>
          <w:bCs/>
          <w:sz w:val="24"/>
          <w:szCs w:val="24"/>
        </w:rPr>
        <w:t>Przebudowa ulicy Jodłowej w Skoczowie</w:t>
      </w:r>
    </w:p>
    <w:p w14:paraId="47E727C1" w14:textId="77777777" w:rsidR="0045169F" w:rsidRPr="00734C94" w:rsidRDefault="0045169F" w:rsidP="0045169F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7C50980D" w14:textId="1D4A568D" w:rsidR="002D2509" w:rsidRPr="00734C94" w:rsidRDefault="002D2509" w:rsidP="0045169F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Pr="00734C94" w:rsidRDefault="005C556C" w:rsidP="0045169F">
      <w:pPr>
        <w:pStyle w:val="Nagwek1"/>
        <w:spacing w:after="120" w:line="276" w:lineRule="auto"/>
        <w:rPr>
          <w:rFonts w:cstheme="majorHAnsi"/>
          <w:caps w:val="0"/>
          <w:sz w:val="24"/>
          <w:szCs w:val="24"/>
        </w:rPr>
      </w:pPr>
      <w:r w:rsidRPr="00734C94">
        <w:rPr>
          <w:rFonts w:cstheme="majorHAnsi"/>
          <w:caps w:val="0"/>
          <w:sz w:val="24"/>
          <w:szCs w:val="24"/>
        </w:rPr>
        <w:t>Pytanie 1</w:t>
      </w:r>
    </w:p>
    <w:p w14:paraId="32E88572" w14:textId="07FAE575" w:rsidR="002B4CFF" w:rsidRPr="00734C94" w:rsidRDefault="002B4CFF" w:rsidP="002B4CFF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  <w:shd w:val="clear" w:color="auto" w:fill="FFFFFF"/>
        </w:rPr>
        <w:t>W nazwie zamówienia jest zawarty opis "etap I", a w udostępnionym projekcie PZT jest z etapu III. Proszę zatem o informacje którym opisem się sugerować - jest to szczególnie istotne przy DOR - są tam znaki pionowe (2szt) i poziome oznakowanie, czego nie ma w przedmiarze (poz 24.1) ilości również się nie zgadzają</w:t>
      </w:r>
      <w:r w:rsidR="00734C94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155E64CC" w14:textId="77777777" w:rsidR="00407B77" w:rsidRPr="00734C94" w:rsidRDefault="00407B77" w:rsidP="00407B77">
      <w:pPr>
        <w:pStyle w:val="Nagwek1"/>
        <w:spacing w:after="120" w:line="276" w:lineRule="auto"/>
        <w:rPr>
          <w:rFonts w:cstheme="majorHAnsi"/>
          <w:b w:val="0"/>
          <w:bCs w:val="0"/>
          <w:caps w:val="0"/>
          <w:sz w:val="24"/>
          <w:szCs w:val="24"/>
        </w:rPr>
      </w:pPr>
      <w:r w:rsidRPr="00734C94">
        <w:rPr>
          <w:rFonts w:cstheme="majorHAnsi"/>
          <w:sz w:val="24"/>
          <w:szCs w:val="24"/>
        </w:rPr>
        <w:t>O</w:t>
      </w:r>
      <w:r w:rsidRPr="00734C94">
        <w:rPr>
          <w:rFonts w:cstheme="majorHAnsi"/>
          <w:caps w:val="0"/>
          <w:sz w:val="24"/>
          <w:szCs w:val="24"/>
        </w:rPr>
        <w:t>dpowiedź</w:t>
      </w:r>
    </w:p>
    <w:p w14:paraId="1F141A13" w14:textId="76C2A67B" w:rsidR="002B4CFF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</w:rPr>
        <w:t>Etap I w nazwie zamówienia nie odnosi się do PZT, stanowi jedynie wyznacznik, że wykonana będzie część z zakresu głównego projektu (nazwa pomocnicza).</w:t>
      </w:r>
    </w:p>
    <w:p w14:paraId="6AA9C0BB" w14:textId="27B69176" w:rsidR="00734C94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</w:rPr>
        <w:t>Zakres zamówienia objętego postępowaniem został określony w załącznikach do postępowania, wobec powyższego należy wycenić pozycje wskazane w załączonym przedmiarze.</w:t>
      </w:r>
    </w:p>
    <w:p w14:paraId="158F429F" w14:textId="77777777" w:rsidR="00734C94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</w:p>
    <w:p w14:paraId="139E632E" w14:textId="7C4185F8" w:rsidR="00734C94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b/>
          <w:bCs/>
          <w:sz w:val="24"/>
          <w:szCs w:val="24"/>
        </w:rPr>
        <w:t>Pytanie 2</w:t>
      </w:r>
    </w:p>
    <w:p w14:paraId="054827C6" w14:textId="0BA42431" w:rsidR="00734C94" w:rsidRPr="00734C94" w:rsidRDefault="00734C94" w:rsidP="00734C94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  <w:shd w:val="clear" w:color="auto" w:fill="FFFFFF"/>
        </w:rPr>
        <w:t>W pozycji przedmiaru 21.2 są studzienki wpustowe PE DN600 - czy mogą zostać zastosowane standardowe wpusty betonowe DN500.</w:t>
      </w:r>
    </w:p>
    <w:p w14:paraId="4A6A04F2" w14:textId="24347AA0" w:rsidR="00734C94" w:rsidRPr="00734C94" w:rsidRDefault="00734C94" w:rsidP="002B4CF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34C94">
        <w:rPr>
          <w:rFonts w:asciiTheme="majorHAnsi" w:hAnsiTheme="majorHAnsi" w:cstheme="majorHAnsi"/>
          <w:b/>
          <w:bCs/>
          <w:sz w:val="24"/>
          <w:szCs w:val="24"/>
        </w:rPr>
        <w:t>Odpowiedź</w:t>
      </w:r>
    </w:p>
    <w:p w14:paraId="315A38F8" w14:textId="4EB48C6E" w:rsidR="00734C94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  <w:r w:rsidRPr="00734C94">
        <w:rPr>
          <w:rFonts w:asciiTheme="majorHAnsi" w:hAnsiTheme="majorHAnsi" w:cstheme="majorHAnsi"/>
          <w:sz w:val="24"/>
          <w:szCs w:val="24"/>
        </w:rPr>
        <w:t>Zamawiający nie wyraża zgody na zmianę rodzaju wpustów</w:t>
      </w:r>
      <w:r w:rsidR="00E629F2">
        <w:rPr>
          <w:rFonts w:asciiTheme="majorHAnsi" w:hAnsiTheme="majorHAnsi" w:cstheme="majorHAnsi"/>
          <w:sz w:val="24"/>
          <w:szCs w:val="24"/>
        </w:rPr>
        <w:t>.</w:t>
      </w:r>
    </w:p>
    <w:p w14:paraId="246971DA" w14:textId="77777777" w:rsidR="00734C94" w:rsidRPr="00734C94" w:rsidRDefault="00734C94" w:rsidP="002B4CFF">
      <w:pPr>
        <w:rPr>
          <w:rFonts w:asciiTheme="majorHAnsi" w:hAnsiTheme="majorHAnsi" w:cstheme="majorHAnsi"/>
          <w:sz w:val="24"/>
          <w:szCs w:val="24"/>
        </w:rPr>
      </w:pPr>
    </w:p>
    <w:sectPr w:rsidR="00734C94" w:rsidRPr="0073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464B0"/>
    <w:rsid w:val="000E7324"/>
    <w:rsid w:val="001400CF"/>
    <w:rsid w:val="001C09F1"/>
    <w:rsid w:val="00245E1A"/>
    <w:rsid w:val="00281C19"/>
    <w:rsid w:val="00294AFA"/>
    <w:rsid w:val="002B4CFF"/>
    <w:rsid w:val="002D2509"/>
    <w:rsid w:val="00373A96"/>
    <w:rsid w:val="00387289"/>
    <w:rsid w:val="003B3DCE"/>
    <w:rsid w:val="003C1D32"/>
    <w:rsid w:val="003E7DC2"/>
    <w:rsid w:val="00407B77"/>
    <w:rsid w:val="0043449B"/>
    <w:rsid w:val="0045169F"/>
    <w:rsid w:val="004E755C"/>
    <w:rsid w:val="005C556C"/>
    <w:rsid w:val="005E5876"/>
    <w:rsid w:val="00734C94"/>
    <w:rsid w:val="00786EA9"/>
    <w:rsid w:val="007E29C9"/>
    <w:rsid w:val="008A1BAC"/>
    <w:rsid w:val="008C23A8"/>
    <w:rsid w:val="008D4714"/>
    <w:rsid w:val="00981C37"/>
    <w:rsid w:val="00A21B68"/>
    <w:rsid w:val="00B70B74"/>
    <w:rsid w:val="00B9264F"/>
    <w:rsid w:val="00BB1751"/>
    <w:rsid w:val="00C863A4"/>
    <w:rsid w:val="00DB2A95"/>
    <w:rsid w:val="00E629F2"/>
    <w:rsid w:val="00EA5BFB"/>
    <w:rsid w:val="00EB3EF6"/>
    <w:rsid w:val="00F15DC1"/>
    <w:rsid w:val="00F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customStyle="1" w:styleId="Default">
    <w:name w:val="Default"/>
    <w:rsid w:val="00387289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11</cp:revision>
  <cp:lastPrinted>2025-04-28T12:39:00Z</cp:lastPrinted>
  <dcterms:created xsi:type="dcterms:W3CDTF">2025-02-24T07:24:00Z</dcterms:created>
  <dcterms:modified xsi:type="dcterms:W3CDTF">2025-04-28T12:43:00Z</dcterms:modified>
</cp:coreProperties>
</file>