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8469C9">
        <w:rPr>
          <w:rFonts w:ascii="Arial" w:hAnsi="Arial" w:cs="Arial"/>
          <w:b/>
          <w:sz w:val="20"/>
          <w:szCs w:val="20"/>
          <w:u w:val="single"/>
        </w:rPr>
        <w:t xml:space="preserve">                           Załącznik nr </w:t>
      </w:r>
      <w:r w:rsidR="00C41868">
        <w:rPr>
          <w:rFonts w:ascii="Arial" w:hAnsi="Arial" w:cs="Arial"/>
          <w:b/>
          <w:sz w:val="20"/>
          <w:szCs w:val="20"/>
          <w:u w:val="single"/>
        </w:rPr>
        <w:t>….</w:t>
      </w:r>
      <w:bookmarkStart w:id="0" w:name="_GoBack"/>
      <w:bookmarkEnd w:id="0"/>
      <w:r w:rsidRPr="008469C9">
        <w:rPr>
          <w:rFonts w:ascii="Arial" w:hAnsi="Arial" w:cs="Arial"/>
          <w:b/>
          <w:sz w:val="20"/>
          <w:szCs w:val="20"/>
          <w:u w:val="single"/>
        </w:rPr>
        <w:t xml:space="preserve"> do umowy                                                           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 Załącznik do decyzji Nr 145/MON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                                                                               Ministra Obrony Narodowej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z dnia 13 lipca 2017 r. (poz. 157)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ZASADY POSTĘPOWANIA W KONTAKTACH Z WYKONAWCAMI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1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Postanowienia ogólne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§ 1</w:t>
      </w:r>
      <w:r w:rsidRPr="008469C9">
        <w:rPr>
          <w:rFonts w:ascii="Arial" w:hAnsi="Arial" w:cs="Arial"/>
          <w:sz w:val="20"/>
          <w:szCs w:val="20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wykonujących na rzecz Skarbu Państwa lub państwowej osoby prawnej odpłatne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umowy, </w:t>
      </w:r>
      <w:r w:rsidR="00724924">
        <w:rPr>
          <w:rFonts w:ascii="Arial" w:hAnsi="Arial" w:cs="Arial"/>
          <w:sz w:val="20"/>
          <w:szCs w:val="20"/>
        </w:rPr>
        <w:br/>
      </w:r>
      <w:r w:rsidRPr="008469C9">
        <w:rPr>
          <w:rFonts w:ascii="Arial" w:hAnsi="Arial" w:cs="Arial"/>
          <w:sz w:val="20"/>
          <w:szCs w:val="20"/>
        </w:rPr>
        <w:t>w szczególności na dostawy, świadczenie usług lub roboty budowlane;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które z racji zakresu prowadzonej działalności mogą starać się o zawarcie umów,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o których mowa </w:t>
      </w:r>
      <w:r w:rsidR="00724924">
        <w:rPr>
          <w:rFonts w:ascii="Arial" w:hAnsi="Arial" w:cs="Arial"/>
          <w:sz w:val="20"/>
          <w:szCs w:val="20"/>
        </w:rPr>
        <w:br/>
      </w:r>
      <w:r w:rsidRPr="008469C9">
        <w:rPr>
          <w:rFonts w:ascii="Arial" w:hAnsi="Arial" w:cs="Arial"/>
          <w:sz w:val="20"/>
          <w:szCs w:val="20"/>
        </w:rPr>
        <w:t>w pkt 1;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które działają w imieniu lub na rzecz podmiotów wskazanych w pkt 1 lub 2, zwanych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dalej "wykonawcami".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2. </w:t>
      </w:r>
      <w:r w:rsidRPr="008469C9">
        <w:rPr>
          <w:rFonts w:ascii="Arial" w:hAnsi="Arial" w:cs="Arial"/>
          <w:sz w:val="20"/>
          <w:szCs w:val="20"/>
        </w:rPr>
        <w:t>W kontaktach z wykonawcami należy zachować świadomość, że mogą oni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stosować działania mające na celu zapewnienie im przychylności, skutkujące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naruszeniem zasady bezstronności, równego traktowania lub uczciwej konkurencji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(reguła wzajemności).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3. </w:t>
      </w:r>
      <w:r w:rsidRPr="008469C9">
        <w:rPr>
          <w:rFonts w:ascii="Arial" w:hAnsi="Arial" w:cs="Arial"/>
          <w:sz w:val="20"/>
          <w:szCs w:val="20"/>
        </w:rPr>
        <w:t>W kontaktach z wykonawcami należy kierować się zasadami: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godności i honoru;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zdrowego rozsądku i umiaru;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3) ochrony dobrego imienia Ministerstwa </w:t>
      </w:r>
      <w:r w:rsidR="00724924">
        <w:rPr>
          <w:rFonts w:ascii="Arial" w:hAnsi="Arial" w:cs="Arial"/>
          <w:sz w:val="20"/>
          <w:szCs w:val="20"/>
        </w:rPr>
        <w:t xml:space="preserve">Obrony Narodowej i Sił Zbrojnych </w:t>
      </w:r>
      <w:r w:rsidRPr="008469C9">
        <w:rPr>
          <w:rFonts w:ascii="Arial" w:hAnsi="Arial" w:cs="Arial"/>
          <w:sz w:val="20"/>
          <w:szCs w:val="20"/>
        </w:rPr>
        <w:t>Rzeczypospolitej Polskiej;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pierwszeństwa interesów Ministerstwa Obrony Narodowej i Sił Zbrojnych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Rzeczypospolitej Polskiej;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5) unikania sytuacji, które mogłyby wywoływać powstanie długu materialnego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honorowego albo poczucia wdzięczności;</w:t>
      </w:r>
    </w:p>
    <w:p w:rsidR="00FD35DB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6) bezstronności oraz unikania zachowań faworyzujących konkretnego wykonawcę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stosunku do jego konkurencji.</w:t>
      </w:r>
    </w:p>
    <w:p w:rsidR="007B694C" w:rsidRPr="008469C9" w:rsidRDefault="007B694C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2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Rozliczanie kosztów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4. </w:t>
      </w:r>
      <w:r w:rsidRPr="008469C9">
        <w:rPr>
          <w:rFonts w:ascii="Arial" w:hAnsi="Arial" w:cs="Arial"/>
          <w:sz w:val="20"/>
          <w:szCs w:val="20"/>
        </w:rPr>
        <w:t>1. Przy rozliczaniu kosztów poniesionych w związku z bezpośrednimi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kontaktami z wykonawcami należy przyjąć zasadę "każdy płaci za siebie",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szczególności: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koszty podróży służbowych, w tym koszty dojazdów, wyżywienia i noclegów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pokrywa się wyłącznie z budżetu, którego dysponentem jest Minister Obrony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Narodowej;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w restauracjach i innych miejscach wspólnego przebywania rachunki należy opłacać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własnych środków w ramach późniejszego rozliczenia służbowego, lub ze środków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pochodzących z budżetu, którego dysponentem jest Minister Obrony Narodowej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(karty płatnicze).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Niedopuszczalne jest korzystanie z fundowanego przez wykonawców</w:t>
      </w:r>
      <w:r w:rsidR="00724924">
        <w:rPr>
          <w:rFonts w:ascii="Arial" w:hAnsi="Arial" w:cs="Arial"/>
          <w:sz w:val="20"/>
          <w:szCs w:val="20"/>
        </w:rPr>
        <w:t xml:space="preserve"> wyżywienia, transportu, ani z </w:t>
      </w:r>
      <w:r w:rsidRPr="008469C9">
        <w:rPr>
          <w:rFonts w:ascii="Arial" w:hAnsi="Arial" w:cs="Arial"/>
          <w:sz w:val="20"/>
          <w:szCs w:val="20"/>
        </w:rPr>
        <w:t>pokrywania przez nich innych kosztów i zobowiązań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wyjątkiem: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drobnych poczęstunków serwowanych w trakcie podróży służbowych;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transportu związanego z wykonywaniem zadań w ramach podróży służbowych.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3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Przedsięwzięcia i spotkania z udziałem wykonawców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5. </w:t>
      </w:r>
      <w:r w:rsidRPr="008469C9">
        <w:rPr>
          <w:rFonts w:ascii="Arial" w:hAnsi="Arial" w:cs="Arial"/>
          <w:sz w:val="20"/>
          <w:szCs w:val="20"/>
        </w:rPr>
        <w:t>1. Dopuszczalne są przedsięwzięcia związane z zawarciem lub realizacją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umowy, organizowane wspólnie przez komórki lub jednostki organizacyjne oraz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Dopuszczalne jest udzielanie pomocy krajowym przedsiębiorstwom sektora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obronnego w przedsięwzięciach promocyjnych skierowanych na rynki zagraniczne,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tym w ramach międzynarodowych targów, pokazów, wystaw i konferencji o tematyce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obronnej, w szczególności w </w:t>
      </w:r>
      <w:r w:rsidRPr="008469C9">
        <w:rPr>
          <w:rFonts w:ascii="Arial" w:hAnsi="Arial" w:cs="Arial"/>
          <w:sz w:val="20"/>
          <w:szCs w:val="20"/>
        </w:rPr>
        <w:lastRenderedPageBreak/>
        <w:t>postaci wystawiania referencji dla sprzętu będącego na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wyposażeniu Sił Zbrojnych Rzeczypospolitej Polskiej oraz udostępniania informacji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materiałów będących w posiadaniu resortu obrony narodowej, a stanowiących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informację publiczną lub informację przetworzoną w rozumieniu przepisów o dostępie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informacji publicznej.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Dopuszczalny jest udział w posiedzeniach i konferencjach organizowanych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współorganizowanych przez organizacje międzynarodowe, których członkiem jest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Rzeczpospolita Polska, a w szczególności przez Organizację Traktatu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Północnoatlantyckiego lub Unię Europejską, odbywających się z udziałem wykonawców,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a także w przedsięwzięciach realizowanych przez komórki lub jednostki organizacyjne,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które wynikają z zaakceptowanego rocznego planu współpracy międzynarodowej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resortu obrony narodowej.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Zaangażowanie w inne niż wymienione w ust. 1-3 przedsięwzięcia z udziałem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wykonawców, w tym w szczególności konferencje, seminaria, sympozja </w:t>
      </w:r>
      <w:r w:rsidR="00724924">
        <w:rPr>
          <w:rFonts w:ascii="Arial" w:hAnsi="Arial" w:cs="Arial"/>
          <w:sz w:val="20"/>
          <w:szCs w:val="20"/>
        </w:rPr>
        <w:t>–</w:t>
      </w:r>
      <w:r w:rsidRPr="008469C9">
        <w:rPr>
          <w:rFonts w:ascii="Arial" w:hAnsi="Arial" w:cs="Arial"/>
          <w:sz w:val="20"/>
          <w:szCs w:val="20"/>
        </w:rPr>
        <w:t xml:space="preserve"> dopuszczalne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jest wyłącznie po uzyskaniu od organizatora informacji zgodnej z wzorem zapytania,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zawartym w załączniku Nr 1 do Zasad postępowania w kontaktach z wykonawcami oraz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udzieleniu pisemnej zgody dyrektora (szefa, komendanta, kierownika, dowódcy,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prezesa) komórki lub jednostki organizacyjnej na uczestnictwo w takim przedsięwzięciu.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W przypadku chęci uczestnictwa dyrektora (szefa, komendanta, kierownika, dowódcy,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prezesa) w przedsięwzięciu z udziałem wykonawców, pisemną zgodę wydaje jego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bezpośredni przełożony.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Obowiązki, o których mowa w ust. 4, nie dotyczą przypadku, gdy organizatorem,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lub współorganizatorem przedsięwzięcia jest Ministerstwo Obrony Narodowej lub inne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instytucje krajowej administracji rządowej.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§ 6</w:t>
      </w:r>
      <w:r w:rsidRPr="008469C9">
        <w:rPr>
          <w:rFonts w:ascii="Arial" w:hAnsi="Arial" w:cs="Arial"/>
          <w:sz w:val="20"/>
          <w:szCs w:val="20"/>
        </w:rPr>
        <w:t>. 1. Wszelkie spotkania z wykonawcami, jeżeli nie mają charakteru: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przedsięwzięć wymienionych w § 5 ust. 1-3,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konferencji, seminariów lub sympozjów wymienionych w § 5 ust. 4 i 5,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spotkań towarzyskich, odbywających się poza godzinami pracy, podczas których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nie poruszano żadnych kwestii służbowych,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spotkań o charakterze jedynie organizacyjno-porządkowym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– powinny odbywać się przy udziale co najmniej dwóch osób będących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przedstawicielami komórek lub jednostek organizacyjnych (zasada „wielu par oczu”),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przeciwnym wypadku całość spotkania powinna zostać utrwalona za pomocą urządzeń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środków technicznych służących do utrwalania dźwięku albo obrazu i dźwięku.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Utrwalenie przebiegu spotkania z wykonawcami za pomocą urządzeń i środków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technicznych służących do utrwalania dźwięku albo obrazu i dźwięku, zwane dalej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„zapisem”, następuje po uprzednim uzyskaniu zgody wykonawcy na taki sposób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utrwalenia przebiegu spotkania.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Niedopuszczalne jest kontynuowanie spotkania z wykonawcą, który nie wyraził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zgody na utrwalenie jego przebiegu, przy jednoczesnym braku możliwości zapewnienia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udziału dwóch osób w spotkaniu, o którym mowa w ust. 1.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Zapis następuje za pomocą urządzeń i środków technicznych wykorzystujących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technikę cyfrową, zapewniającą: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integralność zapisu;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kopiowanie zapisu pomiędzy urządzeniami, środkami technicznymi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informatycznymi nośnikami danych;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zabezpieczenie zapisu, w szczególności przed utratą lub nieuzasadnioną zmianą;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odtworzenie zapisu także przy użyciu urządzeń i środków technicznych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korygujących lub wzmacniających utrwalony dźwięk lub obraz;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5) udostępnienie zapisu na informatycznym nośniku danych;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6) możliwość bieżącej kontroli dokonywanego zapisu.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Informatyczne nośniki danych na których dokonano zapisu podlegają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zdeponowaniu w kancelarii komórki lub jednostki organizacyjnej, której pracownik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żołnierz brał udział w spotkaniu z wykonawcą, gdzie następnie są archiwizowane przez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okres 3 lat.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4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Sponsorowanie przedsięwzięć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7. </w:t>
      </w:r>
      <w:r w:rsidRPr="008469C9">
        <w:rPr>
          <w:rFonts w:ascii="Arial" w:hAnsi="Arial" w:cs="Arial"/>
          <w:sz w:val="20"/>
          <w:szCs w:val="20"/>
        </w:rPr>
        <w:t>Z zastrzeżeniem § 5 ust. 1-3, niedopuszczalne jest, aby przedsięwzięcia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organizowane lub współorganizowane przez komórki lub jednostki organizacyjne były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finansowane, współfinansowane lub w inny sposób materialnie wspierane przez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wykonawców, chyba że jest to związane bezpośrednio z koniecznością pokrycia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kosztów wynikających z uczestnictwa wykonawcy w danym przedsięwzięciu.</w:t>
      </w:r>
    </w:p>
    <w:p w:rsidR="007B694C" w:rsidRPr="008469C9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5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Prezenty, materiały promocyjne i informacyjne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8. </w:t>
      </w:r>
      <w:r w:rsidRPr="008469C9">
        <w:rPr>
          <w:rFonts w:ascii="Arial" w:hAnsi="Arial" w:cs="Arial"/>
          <w:sz w:val="20"/>
          <w:szCs w:val="20"/>
        </w:rPr>
        <w:t>1. Niedopuszczalne jest przyjmowanie od wykonawców prezentów w postaci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jakichkolwiek korzyści majątkowych lub osobistych.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Dopuszczalne jest przyjmowanie materiałów promocyjnych o znikomej wartości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handlowej.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Dopuszczalne i zalecane jest przyjmowanie materiałów informacyjnych.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lastRenderedPageBreak/>
        <w:t>4. Dopuszcza się eksponowanie w salach konferencyjnych oraz w innych miejscach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powszechnie dostępnych na terenie komórek i jednostek organizacyjnych otrzymanych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od wykonawców materiałów promujących Siły Zbrojne Rzeczypospolitej Polskiej.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Niewskazane jest używanie na terenie komórek i jednostek organizacyjnych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materiałów i oznaczeń promujących wykonawców, w tym także materiałów biurowych.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6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Kontakty towarzyskie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9. </w:t>
      </w:r>
      <w:r w:rsidRPr="008469C9">
        <w:rPr>
          <w:rFonts w:ascii="Arial" w:hAnsi="Arial" w:cs="Arial"/>
          <w:sz w:val="20"/>
          <w:szCs w:val="20"/>
        </w:rPr>
        <w:t>1. Kontakty towarzyskie z wykonawcami, nawiązane zanim powstały relacje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wynikające z wykonywanych obowiązków mogą być kontynuowane, przy zachowaniu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zasad określonych w § 3 niniejszego załącznika.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W przypadkach innych niż określone w ust. 1, nie zaleca się nawiązywania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kontaktów towarzyskich z wykonawcami.</w:t>
      </w:r>
    </w:p>
    <w:p w:rsidR="007B694C" w:rsidRPr="008469C9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7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Najem i użyczanie lokali oraz terenów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10. </w:t>
      </w:r>
      <w:r w:rsidRPr="008469C9">
        <w:rPr>
          <w:rFonts w:ascii="Arial" w:hAnsi="Arial" w:cs="Arial"/>
          <w:sz w:val="20"/>
          <w:szCs w:val="20"/>
        </w:rPr>
        <w:t>Dopuszczalne jest wynajmowanie lub użyczanie wykonawcom lokali i terenów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resortu obrony narodowej w celu: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przeprowadzenia prezentacji lub pokazów na rzecz komórek lub jednostek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przeprowadzenia prezentacji lub pokazów organizowanych przez krajowe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przedsiębiorstwa sektora obronnego dla odbiorców zagranicznych;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realizowania zadań przez Agencję Mienia Wojskowego, wynikających z odrębnych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przepisów.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8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Prezentacje, pokazy i referencje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11. </w:t>
      </w:r>
      <w:r w:rsidRPr="008469C9">
        <w:rPr>
          <w:rFonts w:ascii="Arial" w:hAnsi="Arial" w:cs="Arial"/>
          <w:sz w:val="20"/>
          <w:szCs w:val="20"/>
        </w:rPr>
        <w:t>1. Działania informacyjne, z wyłączeniem oficjalnej korespondencji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dokonywanej w formie pisemnej lub realizowanej przy pomocy faksu albo służbowej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poczty elektronicznej, powinny być przeprowadzane przez wykonawców w formie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oficjalnych prezentacji lub pokazów.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Wskazane jest, aby prezentacje lub pokazy odbywały się na terenie komórek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 jednostek organizacyjnych lub podczas targów.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W przypadku, gdyby koszty prezentacji lub pokazu były zbyt wysokie dla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wykonawcy, bądź też gdyby prezentacja lub pokaz były ze względów technicznych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 znacznym utrudnieniem, dopuszczalne jest ich przeprowadzenie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 wykonawcy na rzecz oficjalnej delegacji komórek lub jednostek organizacyjnych.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Niedopuszczalne jest obciążanie Skarbu Państwa – Ministra Obrony Narodowej,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lub państwowej osoby prawnej kosztami organizowanych prezentacji lub pokazów,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wyłączeniem opłat z tytułu zużytych mediów i wstawek konferencyjnych.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W celu zbierania niezbędnych doświadczeń i informacji dyrektorzy (szefowie,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komendanci, kierownicy, dowódcy, prezesi) komórek i jednostek organizacyjnych mogą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 pisemną zgodą bezpośredniego przełożonego organizować prezentacje i pokazy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udziałem wykonawców.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6. Dyrektor (szef, komendant, kierownik, dowódca, prezes) komórki lub jednostki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organizacyjnej odpowiedzialnej za organizację przedsięwzięcia, o którym mowa w ust.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5, dotyczącego sprzętu wojskowego, w terminie 14 dni od dnia jego zakończenia,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przekazuje Dyrektorowi Departamentu Polityki Zbrojeniowej notatkę o tym wydarzeniu,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zgodnie ze wzorem stanowiącym załącznik Nr 2 do Zasad postępowania w kontaktach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wykonawcami.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7. Wskazane jest zamieszczanie przez komórki i jednostki organizacyjne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odpowiednim wyprzedzeniem na własnych stronach internetowych informacji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zamiarze organizacji lub możliwości przeprowadzenia prezentacji lub pokazu,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dotyczącego konkretnych grup asortymentowych sprzętu lub usług, w celu umożliwienia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jak największej grupie wykonawców zgłoszenia swojego udziału w tego typu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wydarzeniach.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12. </w:t>
      </w:r>
      <w:r w:rsidRPr="008469C9">
        <w:rPr>
          <w:rFonts w:ascii="Arial" w:hAnsi="Arial" w:cs="Arial"/>
          <w:sz w:val="20"/>
          <w:szCs w:val="20"/>
        </w:rPr>
        <w:t>1. Dopuszczalne jest udzielenie wykonawcy pozytywnych referencji(poświadczenia) w związku z należytym wykonaniem przez niego umowy.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Referencji, o których mowa w ust. 1, udziela w formie pisemnej zamawiający po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uprzednim ustaleniu należytego wykonania umowy.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Niedopuszczalne jest udzielanie referencji, o których mowa w ust. 1,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wykonawcom, w stosunku do których zamawiający uprawniony jest do zgłoszenia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roszczeń z tytułu niewykonania lub nienależytego wykonania umowy, której mają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dotyczyć referencje.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9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Faworyzowanie i konflikt interesów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§ 13. </w:t>
      </w:r>
      <w:r w:rsidRPr="008469C9">
        <w:rPr>
          <w:rFonts w:ascii="Arial" w:hAnsi="Arial" w:cs="Arial"/>
          <w:sz w:val="20"/>
          <w:szCs w:val="20"/>
        </w:rPr>
        <w:t>1. Niedopuszczalne jest faworyzowanie wykonawcy, polegające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szczególności na: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wcześniejszym udzielaniu mu informacji,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nieuzasadnionym ograniczeniu innym wykonawcom dostępu do informacji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– które może stawiać go w uprzywilejowanej pozycji w stosunku do innych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Wskazane jest, aby pracownicy i żołnierze komórek i jednostek organizacyjnych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oraz osoby fizyczne świadczące pracę na podstawie umów cywilnoprawnych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Ministerstwie Obrony Narodowej lub w jednostkach organizacyjnych, informowali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odpowiednio bezpośrednich przełożonych lub zamawiających o relacjach prawnych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faktycznych, w których ich interes prywatny (osobisty lub majątkowy), wynikający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powiązań z konkretnym wykonawcą, wpływa, bądź może wpływać na obiektywne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 bezstronne wykonywanie powierzonych obowiązków (realny bądź potencjalny konflikt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interesów) lub też może być on postrzegany przez opinię publiczną jako znajdujący się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konflikcie z obiektywnym i bezstronnym wykonywaniem realizowanych przez nich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obowiązków (postrzegalny konflikt interesów).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Przez konflikt interesów należy rozumieć, w szczególności posiadanie powiązań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charakterze finansowym, rodzinnym lub towarzyskim z wykonawcą.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Dyrektor (szef, komendant, kierownik, dowódca, prezes) komórki lub jednostki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organizacyjnej dysponujący wiarygodną informacją o realnym, potencjalnym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postrzegalnym konflikcie interesów podległego mu pracownika lub żołnierza komórki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jednostki organizacyjnej, bądź osoby fizycznej świadczącej pracę na podstawie umów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cywilnoprawnych w Ministerstwie Obrony Narodowej lub w jednostkach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organizacyjnych, rozstrzyga niezwłocznie o potrzebie podjęcia czynności zaradczych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w celu wyeliminowania lub ograniczenia możliwości zaistnienia konfliktu interesów.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Czynnością zaradczą, o której mowa w ust. 4, może być w szczególności: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wydanie dyspozycji o konieczności udziału minimum dwóch osób w realizacji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określonych czynności (zasada „wielu par oczu”),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włączenie dodatkowych mechanizmów nadzorczych, w tym kontrolnych,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sprawozdawczych w realizacji określonych czynności,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wyłączenie osoby pozostającej w konflikcie interesów z udziału w określonej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czynności,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doprowadzenie do rozwiązania umowy cywilnoprawnej zawartej z osobą fizyczną,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której mowa w ust. 2.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6. W przypadku postrzegalnego lub potencjalnego konfliktu interesów dyrektor (szef,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komendant, kierownik, dowódca, prezes) komórki lub jednostki organizacyjnej może 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podejmować żadnej czynności zaradczej, jeżeli w pisemnej notatce, zarejestrowanej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kancelarii potwierdzi, że konflikt ten jest w jego ocenie nieistotny z punktu widzenia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prawidłowego działania danej komórki lub jednostki organizacyjnej, a samo ujawnienie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go przez osobę, pozostającą w konflikcie interesów jest wystarczające do jego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skutecznej kontroli.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7. W przypadku, gdy konflikt interesów dotyczy dyrektora (szefa, komendanta,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kierownika, dowódcy, prezesa) komórki lub jednostki organizacyjnej, o potrzebie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podjęcia czynności zaradczych w celu wyeliminowania lub ograniczenia możliwości jego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zaistnienia, decyduje bezpośredni przełożony tej osoby. Przepisy ust. 2-6 stosuje się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odpowiednio.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10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Sprawozdawczość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14. </w:t>
      </w:r>
      <w:r w:rsidRPr="008469C9">
        <w:rPr>
          <w:rFonts w:ascii="Arial" w:hAnsi="Arial" w:cs="Arial"/>
          <w:sz w:val="20"/>
          <w:szCs w:val="20"/>
        </w:rPr>
        <w:t>1. Z wszelkich kontaktów z wykonawcami, osoby biorące w nich udział,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sporządzają notatkę zawierającą informacje odnośnie: stron, celu, inicjatora, formy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kontaktu lub miejsca spotkania oraz faktu udokumentowania jego przebiegu za pomocą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urządzeń i środków technicznych służących do utrwalania dźwięku albo obrazu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dźwięku, a w przypadku gdy przebieg spotkania nie został w ten sposób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udokumentowany – również szczegółowych danych uzyskanych od wykonawcy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przekazanych wykonawcy. Istnieje możliwość sporządzenia wspólnej notatki przez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osoby uczestniczące w kontaktach z wykonawcami.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Notatkę, o której mowa w ust. 1, sporządza się również w przypadku kontaktów 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podmiotami zainteresowanymi nabyciem nieruchomości Skarbu Państwa lub mienia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ruchomego o wartości księgowej przekraczającej 10.000 złotych.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Treść notatki zamieszcza się w terminie 14 dni od dnia przeprowadzenia kontaktu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wewnętrznej sieci elektronicznej w zakładce pod nazwą „kontakty z wykonawcami”.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Obowiązek, o którym mowa w ust. 1 i 3, nie dotyczy: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czynności zamawiającego, w związku z postępowaniem o udzielenie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zamówienia od chwili zamieszczenia ogłoszenia o postępowaniu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skierowania zaproszenia do udziału w postępowaniu w trybie negocjacji,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chwili wyboru wykonawcy, o ile czynności te podejmowane są w ramach prac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komisji;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czynności zamawiającego podejmowanych od chwili wyboru wykonawcy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chwili podpisania umowy oraz czynności związanych z wykonywaniem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zawartych umów, o ile czynności te podejmowane są przez uprzednio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pisemnie wyznaczone osoby;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kontaktów mających charakter oficjalnej korespondencji dokonywanej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formie pisemnej lub realizowanej przy pomocy faksu albo służbowej poczty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elektronicznej;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kontaktów mających miejsce w związku z realizacją fazy analityczno koncepcyjnej,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której mowa w przepisach decyzji w spawie pozyskiwania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sprzętu wojskowego i usług dla Sił Zbrojnych </w:t>
      </w:r>
      <w:r w:rsidRPr="008469C9">
        <w:rPr>
          <w:rFonts w:ascii="Arial" w:hAnsi="Arial" w:cs="Arial"/>
          <w:sz w:val="20"/>
          <w:szCs w:val="20"/>
        </w:rPr>
        <w:lastRenderedPageBreak/>
        <w:t>Rzeczypospolitej Polskiej, o ile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kontakty te zostaną opisane w dokumentacji, która powstanie w ramach tej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fazy, pisemnej notatce lub protokole spotkania, bądź też ich przebieg zostanie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utrwalony za pomocą urządzeń i środków technicznych służących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utrwalania dźwięku albo obrazu i dźwięku;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5) kontaktów dotyczących jedynie zagadnień o charakterze organizacyjnoporządkowym;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6) kontaktów o charakterze wyłącznie towarzyskim, odbywających się poza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godzinami pracy, w trakcie których nie poruszano żadnych kwestii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służbowych;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7) prezentacji i pokazów organizowanych na podstawie § 11 ust. 5;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8) kontaktów realizowanych w celu wykonywania obowiązków przewidzianych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ustawie o niektórych umowach zawieranych w związku z realizacją zamówień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podstawowym znaczeniu dla bezpieczeństwa państwa, o ile kontakty te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zostaną opisane w pisemnej notatce lub protokole spotkania, bądź też ich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przebieg zostanie utrwalony za pomocą urządzeń i środków technicznych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służących do utrwalania dźwięku albo obrazu i dźwięku;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9) kontaktów realizowanych w celu wykonania obowiązków przewidzianych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przepisach decyzji w spawie zasad funkcjonowania systemu zapewnienia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jakości wyrobów obronnych, o ile kontakty te zostaną opisane w pisemnej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notatce lub protokole spotkania, bądź też ich przebieg zostanie utrwalony za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pomocą urządzeń i środków technicznych służących do utrwalania dźwięku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12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albo obrazu i dźwięku.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5. </w:t>
      </w:r>
      <w:r w:rsidRPr="008469C9">
        <w:rPr>
          <w:rFonts w:ascii="Arial" w:hAnsi="Arial" w:cs="Arial"/>
          <w:sz w:val="20"/>
          <w:szCs w:val="20"/>
        </w:rPr>
        <w:t>W wewnętrznej sieci elektronicznej nie powinny być zamieszczane notatki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sporządzane ze spotkań z wykonawcami, w przypadku gdyby podlegały one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szczególnej ochronie przewidzianej w ustawie o ochronie informacji niejawnych.</w:t>
      </w:r>
    </w:p>
    <w:p w:rsidR="007B694C" w:rsidRPr="008469C9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11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Wykładnia postanowień decyzji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15. </w:t>
      </w:r>
      <w:r w:rsidRPr="008469C9">
        <w:rPr>
          <w:rFonts w:ascii="Arial" w:hAnsi="Arial" w:cs="Arial"/>
          <w:sz w:val="20"/>
          <w:szCs w:val="20"/>
        </w:rPr>
        <w:t>1. Podmioty zainteresowane mogą zwrócić się z pisemnym wnioskiem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 Dyrektora Biura do Spraw Procedur Antykorupcyjnych o wydanie pisemnej opinii w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sprawie interpretacji postanowień zawartych w decyzji, zwanej dalej "opinią".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Podmiot wnioskujący może zastrzec we wniosku, o którym mowa w ust. 1,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anonimizację danych osobowych.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Opinia ma charakter wiążący dla wszystkich komórek i jednostek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Dyrektor Biura do Spraw Procedur Antykorupcyjnych zamieszcza opinię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wewnętrznej sieci elektronicznej (intranet), w zakładce "kontakty z wykonawcami".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Dyrektor Biura do Spraw Procedur Antykorupcyjnych może odmówić wydania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opinii w sprawach, które były już przedmiotem rozstrzygnięcia lub, w których stan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faktyczny ma charakter analogiczny do uprzednio opiniowanej sprawy.</w:t>
      </w:r>
    </w:p>
    <w:p w:rsidR="00840D73" w:rsidRPr="008469C9" w:rsidRDefault="00840D73" w:rsidP="008469C9">
      <w:pPr>
        <w:spacing w:line="240" w:lineRule="auto"/>
        <w:rPr>
          <w:sz w:val="20"/>
          <w:szCs w:val="20"/>
        </w:rPr>
      </w:pPr>
    </w:p>
    <w:p w:rsidR="008469C9" w:rsidRPr="008469C9" w:rsidRDefault="008469C9">
      <w:pPr>
        <w:spacing w:line="240" w:lineRule="auto"/>
        <w:rPr>
          <w:sz w:val="20"/>
          <w:szCs w:val="20"/>
        </w:rPr>
      </w:pPr>
    </w:p>
    <w:sectPr w:rsidR="008469C9" w:rsidRPr="008469C9" w:rsidSect="008469C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83" w:rsidRDefault="00157483" w:rsidP="00F731CD">
      <w:pPr>
        <w:spacing w:after="0" w:line="240" w:lineRule="auto"/>
      </w:pPr>
      <w:r>
        <w:separator/>
      </w:r>
    </w:p>
  </w:endnote>
  <w:endnote w:type="continuationSeparator" w:id="0">
    <w:p w:rsidR="00157483" w:rsidRDefault="00157483" w:rsidP="00F7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83" w:rsidRDefault="00157483" w:rsidP="00F731CD">
      <w:pPr>
        <w:spacing w:after="0" w:line="240" w:lineRule="auto"/>
      </w:pPr>
      <w:r>
        <w:separator/>
      </w:r>
    </w:p>
  </w:footnote>
  <w:footnote w:type="continuationSeparator" w:id="0">
    <w:p w:rsidR="00157483" w:rsidRDefault="00157483" w:rsidP="00F731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49"/>
    <w:rsid w:val="00157483"/>
    <w:rsid w:val="00724924"/>
    <w:rsid w:val="007B694C"/>
    <w:rsid w:val="00840D73"/>
    <w:rsid w:val="008469C9"/>
    <w:rsid w:val="00B40D66"/>
    <w:rsid w:val="00C41868"/>
    <w:rsid w:val="00C50549"/>
    <w:rsid w:val="00F731CD"/>
    <w:rsid w:val="00F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6A3D1"/>
  <w15:docId w15:val="{5009AD0B-1C21-4E25-A316-79897461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3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1CD"/>
  </w:style>
  <w:style w:type="paragraph" w:styleId="Stopka">
    <w:name w:val="footer"/>
    <w:basedOn w:val="Normalny"/>
    <w:link w:val="StopkaZnak"/>
    <w:uiPriority w:val="99"/>
    <w:unhideWhenUsed/>
    <w:rsid w:val="00F73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1CD"/>
  </w:style>
  <w:style w:type="paragraph" w:styleId="Tekstdymka">
    <w:name w:val="Balloon Text"/>
    <w:basedOn w:val="Normalny"/>
    <w:link w:val="TekstdymkaZnak"/>
    <w:uiPriority w:val="99"/>
    <w:semiHidden/>
    <w:unhideWhenUsed/>
    <w:rsid w:val="00F7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0B0A82-29D4-4A3E-A139-7CF14EF150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2809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Bajowska Maria</dc:creator>
  <cp:keywords/>
  <dc:description/>
  <cp:lastModifiedBy>Mierzwiński Dariusz</cp:lastModifiedBy>
  <cp:revision>9</cp:revision>
  <cp:lastPrinted>2021-09-03T10:50:00Z</cp:lastPrinted>
  <dcterms:created xsi:type="dcterms:W3CDTF">2017-07-27T06:45:00Z</dcterms:created>
  <dcterms:modified xsi:type="dcterms:W3CDTF">2021-09-03T10:53:00Z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0aa64c32-8fcf-42f2-960a-3620f23c3855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</Properties>
</file>