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pPr w:bottomFromText="0" w:horzAnchor="text" w:leftFromText="141" w:rightFromText="141" w:tblpX="-454" w:tblpY="1075" w:topFromText="0" w:vertAnchor="page"/>
        <w:tblW w:w="9639" w:type="dxa"/>
        <w:jc w:val="left"/>
        <w:tblInd w:w="85" w:type="dxa"/>
        <w:tblLayout w:type="fixed"/>
        <w:tblCellMar>
          <w:top w:w="85" w:type="dxa"/>
          <w:left w:w="85" w:type="dxa"/>
          <w:bottom w:w="85" w:type="dxa"/>
          <w:right w:w="85" w:type="dxa"/>
        </w:tblCellMar>
        <w:tblLook w:firstRow="1" w:noVBand="1" w:lastRow="0" w:firstColumn="1" w:lastColumn="0" w:noHBand="0" w:val="04a0"/>
      </w:tblPr>
      <w:tblGrid>
        <w:gridCol w:w="2919"/>
        <w:gridCol w:w="6719"/>
      </w:tblGrid>
      <w:tr>
        <w:trPr>
          <w:trHeight w:val="611" w:hRule="atLeast"/>
        </w:trPr>
        <w:tc>
          <w:tcPr>
            <w:tcW w:w="2919" w:type="dxa"/>
            <w:tcBorders/>
            <w:vAlign w:val="center"/>
          </w:tcPr>
          <w:p>
            <w:pPr>
              <w:pStyle w:val="Normal"/>
              <w:widowControl w:val="false"/>
              <w:suppressAutoHyphens w:val="false"/>
              <w:spacing w:lineRule="auto" w:line="276" w:before="0" w:after="0"/>
              <w:jc w:val="left"/>
              <w:rPr>
                <w:color w:val="7F7F7F" w:themeColor="text1" w:themeTint="80"/>
                <w:sz w:val="14"/>
                <w:lang w:eastAsia="pl-PL"/>
              </w:rPr>
            </w:pPr>
            <w:r>
              <w:rPr>
                <w:color w:val="7F7F7F" w:themeColor="text1" w:themeTint="80"/>
                <w:kern w:val="0"/>
                <w:sz w:val="14"/>
                <w:szCs w:val="22"/>
                <w:lang w:val="pl-PL" w:eastAsia="pl-PL" w:bidi="ar-SA"/>
              </w:rPr>
              <w:t>NAZWA ELEMENTU PROJEKTU</w:t>
            </w:r>
          </w:p>
        </w:tc>
        <w:tc>
          <w:tcPr>
            <w:tcW w:w="6719" w:type="dxa"/>
            <w:tcBorders/>
            <w:vAlign w:val="center"/>
          </w:tcPr>
          <w:p>
            <w:pPr>
              <w:pStyle w:val="Normal"/>
              <w:widowControl w:val="false"/>
              <w:spacing w:lineRule="auto" w:line="276" w:before="240" w:after="0"/>
              <w:jc w:val="left"/>
              <w:rPr>
                <w:b/>
                <w:b/>
              </w:rPr>
            </w:pPr>
            <w:r>
              <w:rPr>
                <w:b/>
                <w:kern w:val="0"/>
                <w:sz w:val="20"/>
                <w:szCs w:val="22"/>
                <w:lang w:val="pl-PL" w:eastAsia="pl-PL" w:bidi="ar-SA"/>
              </w:rPr>
              <w:t>SPECYFIKACJA WYKONANIA I ODBIORU ROBÓT BUDOWLANYCH</w:t>
            </w:r>
          </w:p>
        </w:tc>
      </w:tr>
      <w:tr>
        <w:trPr>
          <w:trHeight w:val="1013" w:hRule="atLeast"/>
        </w:trPr>
        <w:tc>
          <w:tcPr>
            <w:tcW w:w="2919" w:type="dxa"/>
            <w:tcBorders/>
            <w:vAlign w:val="center"/>
          </w:tcPr>
          <w:p>
            <w:pPr>
              <w:pStyle w:val="Normal"/>
              <w:widowControl w:val="false"/>
              <w:suppressAutoHyphens w:val="false"/>
              <w:spacing w:lineRule="auto" w:line="276" w:before="0" w:after="0"/>
              <w:jc w:val="left"/>
              <w:rPr>
                <w:color w:val="7F7F7F" w:themeColor="text1" w:themeTint="80"/>
                <w:sz w:val="14"/>
                <w:lang w:eastAsia="pl-PL"/>
              </w:rPr>
            </w:pPr>
            <w:r>
              <w:rPr>
                <w:color w:val="7F7F7F" w:themeColor="text1" w:themeTint="80"/>
                <w:kern w:val="0"/>
                <w:sz w:val="14"/>
                <w:szCs w:val="22"/>
                <w:lang w:val="pl-PL" w:eastAsia="pl-PL" w:bidi="ar-SA"/>
              </w:rPr>
              <w:t>NAZWA</w:t>
            </w:r>
          </w:p>
          <w:p>
            <w:pPr>
              <w:pStyle w:val="Normal"/>
              <w:widowControl w:val="false"/>
              <w:suppressAutoHyphens w:val="false"/>
              <w:spacing w:lineRule="auto" w:line="276" w:before="0" w:after="0"/>
              <w:jc w:val="left"/>
              <w:rPr>
                <w:color w:val="7F7F7F" w:themeColor="text1" w:themeTint="80"/>
                <w:sz w:val="14"/>
                <w:lang w:eastAsia="pl-PL"/>
              </w:rPr>
            </w:pPr>
            <w:r>
              <w:rPr>
                <w:color w:val="7F7F7F" w:themeColor="text1" w:themeTint="80"/>
                <w:kern w:val="0"/>
                <w:sz w:val="14"/>
                <w:szCs w:val="22"/>
                <w:lang w:val="pl-PL" w:eastAsia="pl-PL" w:bidi="ar-SA"/>
              </w:rPr>
              <w:t>ZAMIERZENIA</w:t>
              <w:br/>
              <w:t>BUDOWLANEGO</w:t>
            </w:r>
          </w:p>
        </w:tc>
        <w:tc>
          <w:tcPr>
            <w:tcW w:w="6719" w:type="dxa"/>
            <w:tcBorders/>
            <w:vAlign w:val="center"/>
          </w:tcPr>
          <w:p>
            <w:pPr>
              <w:pStyle w:val="Normal"/>
              <w:widowControl w:val="false"/>
              <w:spacing w:lineRule="auto" w:line="276" w:before="0" w:after="0"/>
              <w:rPr>
                <w:rFonts w:ascii="Arial" w:hAnsi="Arial" w:eastAsia="Times New Roman" w:cs="Arial"/>
                <w:b/>
                <w:b/>
                <w:color w:val="000000"/>
                <w:kern w:val="0"/>
                <w:sz w:val="20"/>
                <w:szCs w:val="20"/>
                <w:lang w:val="pl-PL" w:eastAsia="pl-PL" w:bidi="ar-SA"/>
              </w:rPr>
            </w:pPr>
            <w:r>
              <w:rPr>
                <w:rFonts w:eastAsia="Times New Roman" w:cs="Arial"/>
                <w:b/>
                <w:color w:val="000000"/>
                <w:kern w:val="0"/>
                <w:sz w:val="20"/>
                <w:szCs w:val="20"/>
                <w:lang w:val="pl-PL" w:eastAsia="pl-PL" w:bidi="ar-SA"/>
              </w:rPr>
              <w:t>Przebudowa budynku garażowo-magazynowego wraz z zagospodarowaniem terenu, infrastrukturą techniczną oraz rozbiórką zbiorników wodnych na działce nr ewid. 868/2 i części działki nr ewid. 857/41, obręb 0001, w Andrychowie</w:t>
            </w:r>
          </w:p>
        </w:tc>
      </w:tr>
      <w:tr>
        <w:trPr>
          <w:trHeight w:val="227" w:hRule="atLeast"/>
        </w:trPr>
        <w:tc>
          <w:tcPr>
            <w:tcW w:w="2919" w:type="dxa"/>
            <w:tcBorders/>
            <w:vAlign w:val="center"/>
          </w:tcPr>
          <w:p>
            <w:pPr>
              <w:pStyle w:val="Normal"/>
              <w:widowControl w:val="false"/>
              <w:suppressAutoHyphens w:val="false"/>
              <w:spacing w:lineRule="auto" w:line="276" w:before="0" w:after="0"/>
              <w:jc w:val="left"/>
              <w:rPr>
                <w:rFonts w:ascii="Arial" w:hAnsi="Arial" w:eastAsia="SimSun" w:cs="Arial"/>
                <w:color w:val="7F7F7F" w:themeColor="text1" w:themeTint="80"/>
                <w:kern w:val="0"/>
                <w:sz w:val="14"/>
                <w:szCs w:val="22"/>
                <w:lang w:val="pl-PL" w:eastAsia="pl-PL" w:bidi="ar-SA"/>
              </w:rPr>
            </w:pPr>
            <w:r>
              <w:rPr>
                <w:rFonts w:eastAsia="SimSun" w:cs="Arial"/>
                <w:color w:val="7F7F7F" w:themeColor="text1" w:themeTint="80"/>
                <w:kern w:val="0"/>
                <w:sz w:val="14"/>
                <w:szCs w:val="22"/>
                <w:lang w:val="pl-PL" w:eastAsia="pl-PL" w:bidi="ar-SA"/>
              </w:rPr>
              <w:t>ZAKRES</w:t>
            </w:r>
          </w:p>
        </w:tc>
        <w:tc>
          <w:tcPr>
            <w:tcW w:w="6719" w:type="dxa"/>
            <w:tcBorders/>
            <w:vAlign w:val="center"/>
          </w:tcPr>
          <w:p>
            <w:pPr>
              <w:pStyle w:val="Normal"/>
              <w:widowControl w:val="false"/>
              <w:suppressAutoHyphens w:val="false"/>
              <w:spacing w:lineRule="auto" w:line="240" w:before="0" w:after="0"/>
              <w:ind w:right="65" w:hanging="0"/>
              <w:rPr>
                <w:rFonts w:ascii="Arial" w:hAnsi="Arial" w:eastAsia="SimSun" w:cs="Arial"/>
                <w:color w:val="auto"/>
                <w:kern w:val="0"/>
                <w:sz w:val="22"/>
                <w:szCs w:val="20"/>
                <w:lang w:val="pl-PL" w:eastAsia="ar-SA" w:bidi="ar-SA"/>
              </w:rPr>
            </w:pPr>
            <w:r>
              <w:rPr>
                <w:rFonts w:eastAsia="SimSun" w:cs="Arial"/>
                <w:color w:val="auto"/>
                <w:kern w:val="0"/>
                <w:sz w:val="22"/>
                <w:szCs w:val="20"/>
                <w:lang w:val="pl-PL" w:eastAsia="ar-SA" w:bidi="ar-SA"/>
              </w:rPr>
              <w:t>Rozbiórka zbiorników wodnych i murów</w:t>
            </w:r>
          </w:p>
        </w:tc>
      </w:tr>
      <w:tr>
        <w:trPr>
          <w:trHeight w:val="227" w:hRule="atLeast"/>
        </w:trPr>
        <w:tc>
          <w:tcPr>
            <w:tcW w:w="2919" w:type="dxa"/>
            <w:tcBorders>
              <w:top w:val="nil"/>
            </w:tcBorders>
            <w:vAlign w:val="center"/>
          </w:tcPr>
          <w:p>
            <w:pPr>
              <w:pStyle w:val="Normal"/>
              <w:widowControl w:val="false"/>
              <w:suppressAutoHyphens w:val="false"/>
              <w:spacing w:lineRule="auto" w:line="276" w:before="0" w:after="0"/>
              <w:jc w:val="left"/>
              <w:rPr>
                <w:color w:val="7F7F7F" w:themeColor="text1" w:themeTint="80"/>
                <w:sz w:val="14"/>
                <w:lang w:eastAsia="pl-PL"/>
              </w:rPr>
            </w:pPr>
            <w:r>
              <w:rPr>
                <w:color w:val="7F7F7F" w:themeColor="text1" w:themeTint="80"/>
                <w:kern w:val="0"/>
                <w:sz w:val="14"/>
                <w:szCs w:val="22"/>
                <w:lang w:val="pl-PL" w:eastAsia="pl-PL" w:bidi="ar-SA"/>
              </w:rPr>
              <w:t>ADRES OBIEKTU BUDOWLANEGO</w:t>
            </w:r>
          </w:p>
        </w:tc>
        <w:tc>
          <w:tcPr>
            <w:tcW w:w="6719" w:type="dxa"/>
            <w:tcBorders>
              <w:top w:val="nil"/>
            </w:tcBorders>
            <w:vAlign w:val="center"/>
          </w:tcPr>
          <w:p>
            <w:pPr>
              <w:pStyle w:val="Normal"/>
              <w:widowControl w:val="false"/>
              <w:suppressAutoHyphens w:val="false"/>
              <w:spacing w:lineRule="auto" w:line="240" w:before="0" w:after="0"/>
              <w:ind w:right="65" w:hanging="0"/>
              <w:rPr>
                <w:sz w:val="20"/>
              </w:rPr>
            </w:pPr>
            <w:r>
              <w:rPr>
                <w:kern w:val="0"/>
                <w:sz w:val="20"/>
                <w:szCs w:val="22"/>
                <w:lang w:val="pl-PL" w:bidi="ar-SA"/>
              </w:rPr>
              <w:t xml:space="preserve">ul. </w:t>
            </w:r>
            <w:r>
              <w:rPr>
                <w:rFonts w:eastAsia="SimSun" w:cs="Arial"/>
                <w:color w:val="auto"/>
                <w:kern w:val="0"/>
                <w:sz w:val="20"/>
                <w:szCs w:val="22"/>
                <w:lang w:val="pl-PL" w:eastAsia="ar-SA" w:bidi="ar-SA"/>
              </w:rPr>
              <w:t>J. Dąbrowskiego 19</w:t>
            </w:r>
            <w:r>
              <w:rPr>
                <w:kern w:val="0"/>
                <w:sz w:val="20"/>
                <w:szCs w:val="22"/>
                <w:lang w:val="pl-PL" w:bidi="ar-SA"/>
              </w:rPr>
              <w:t>, 34-120 Andrychów</w:t>
            </w:r>
          </w:p>
        </w:tc>
      </w:tr>
      <w:tr>
        <w:trPr/>
        <w:tc>
          <w:tcPr>
            <w:tcW w:w="2919" w:type="dxa"/>
            <w:tcBorders/>
            <w:vAlign w:val="center"/>
          </w:tcPr>
          <w:p>
            <w:pPr>
              <w:pStyle w:val="Normal"/>
              <w:widowControl w:val="false"/>
              <w:suppressAutoHyphens w:val="false"/>
              <w:spacing w:lineRule="auto" w:line="276" w:before="0" w:after="0"/>
              <w:jc w:val="left"/>
              <w:rPr>
                <w:color w:val="7F7F7F" w:themeColor="text1" w:themeTint="80"/>
                <w:sz w:val="14"/>
                <w:lang w:eastAsia="pl-PL"/>
              </w:rPr>
            </w:pPr>
            <w:r>
              <w:rPr>
                <w:color w:val="7F7F7F" w:themeColor="text1" w:themeTint="80"/>
                <w:kern w:val="0"/>
                <w:sz w:val="14"/>
                <w:szCs w:val="22"/>
                <w:lang w:val="pl-PL" w:eastAsia="pl-PL" w:bidi="ar-SA"/>
              </w:rPr>
              <w:t>POZOSTAŁE DANE</w:t>
              <w:br/>
              <w:t>ADRESOWE</w:t>
            </w:r>
          </w:p>
        </w:tc>
        <w:tc>
          <w:tcPr>
            <w:tcW w:w="6719" w:type="dxa"/>
            <w:tcBorders/>
            <w:vAlign w:val="center"/>
          </w:tcPr>
          <w:p>
            <w:pPr>
              <w:pStyle w:val="Normal"/>
              <w:widowControl w:val="false"/>
              <w:spacing w:lineRule="auto" w:line="276" w:before="0" w:after="0"/>
              <w:jc w:val="left"/>
              <w:rPr>
                <w:sz w:val="20"/>
              </w:rPr>
            </w:pPr>
            <w:r>
              <w:rPr>
                <w:kern w:val="0"/>
                <w:sz w:val="20"/>
                <w:szCs w:val="22"/>
                <w:lang w:val="pl-PL" w:bidi="ar-SA"/>
              </w:rPr>
              <w:t xml:space="preserve">jednostka ewidencyjna: </w:t>
            </w:r>
            <w:r>
              <w:rPr>
                <w:rFonts w:eastAsia="SimSun" w:cs="Arial"/>
                <w:color w:val="auto"/>
                <w:kern w:val="0"/>
                <w:sz w:val="20"/>
                <w:szCs w:val="22"/>
                <w:lang w:val="pl-PL" w:eastAsia="ar-SA" w:bidi="ar-SA"/>
              </w:rPr>
              <w:t>121801_4</w:t>
            </w:r>
          </w:p>
          <w:p>
            <w:pPr>
              <w:pStyle w:val="Normal"/>
              <w:widowControl w:val="false"/>
              <w:spacing w:lineRule="auto" w:line="276" w:before="0" w:after="0"/>
              <w:rPr>
                <w:sz w:val="20"/>
              </w:rPr>
            </w:pPr>
            <w:r>
              <w:rPr>
                <w:kern w:val="0"/>
                <w:sz w:val="20"/>
                <w:szCs w:val="22"/>
                <w:lang w:val="pl-PL" w:bidi="ar-SA"/>
              </w:rPr>
              <w:t xml:space="preserve">obręb ewidencyjny: </w:t>
            </w:r>
            <w:r>
              <w:rPr>
                <w:rFonts w:eastAsia="SimSun" w:cs="Arial"/>
                <w:kern w:val="0"/>
                <w:sz w:val="20"/>
                <w:szCs w:val="22"/>
                <w:lang w:val="pl-PL" w:eastAsia="ar-SA" w:bidi="ar-SA"/>
              </w:rPr>
              <w:t>0001_Andrychów</w:t>
            </w:r>
          </w:p>
          <w:p>
            <w:pPr>
              <w:pStyle w:val="Normal"/>
              <w:widowControl w:val="false"/>
              <w:spacing w:lineRule="auto" w:line="276" w:before="0" w:after="0"/>
              <w:rPr>
                <w:color w:val="000000"/>
                <w:sz w:val="20"/>
              </w:rPr>
            </w:pPr>
            <w:r>
              <w:rPr>
                <w:kern w:val="0"/>
                <w:sz w:val="20"/>
                <w:szCs w:val="22"/>
                <w:lang w:val="pl-PL" w:bidi="ar-SA"/>
              </w:rPr>
              <w:t xml:space="preserve">działki nr ewid. </w:t>
            </w:r>
            <w:r>
              <w:rPr>
                <w:rFonts w:eastAsia="SimSun" w:cs="Arial"/>
                <w:color w:val="000000"/>
                <w:kern w:val="0"/>
                <w:sz w:val="20"/>
                <w:szCs w:val="22"/>
                <w:lang w:val="pl-PL" w:eastAsia="ar-SA" w:bidi="ar-SA"/>
              </w:rPr>
              <w:t>857/41, 868/2</w:t>
            </w:r>
          </w:p>
        </w:tc>
      </w:tr>
      <w:tr>
        <w:trPr>
          <w:trHeight w:val="657" w:hRule="atLeast"/>
        </w:trPr>
        <w:tc>
          <w:tcPr>
            <w:tcW w:w="2919" w:type="dxa"/>
            <w:tcBorders/>
            <w:vAlign w:val="center"/>
          </w:tcPr>
          <w:p>
            <w:pPr>
              <w:pStyle w:val="Normal"/>
              <w:widowControl w:val="false"/>
              <w:suppressAutoHyphens w:val="false"/>
              <w:spacing w:lineRule="auto" w:line="276" w:before="0" w:after="0"/>
              <w:jc w:val="left"/>
              <w:rPr>
                <w:color w:val="7F7F7F" w:themeColor="text1" w:themeTint="80"/>
                <w:sz w:val="14"/>
                <w:lang w:eastAsia="pl-PL"/>
              </w:rPr>
            </w:pPr>
            <w:r>
              <w:rPr>
                <w:color w:val="7F7F7F" w:themeColor="text1" w:themeTint="80"/>
                <w:kern w:val="0"/>
                <w:sz w:val="14"/>
                <w:szCs w:val="22"/>
                <w:lang w:val="pl-PL" w:eastAsia="pl-PL" w:bidi="ar-SA"/>
              </w:rPr>
              <w:t>INWESTOR</w:t>
            </w:r>
          </w:p>
        </w:tc>
        <w:tc>
          <w:tcPr>
            <w:tcW w:w="6719" w:type="dxa"/>
            <w:tcBorders/>
            <w:vAlign w:val="center"/>
          </w:tcPr>
          <w:p>
            <w:pPr>
              <w:pStyle w:val="Normal"/>
              <w:widowControl w:val="false"/>
              <w:shd w:val="clear" w:color="auto" w:fill="FFFFFF"/>
              <w:suppressAutoHyphens w:val="false"/>
              <w:spacing w:lineRule="auto" w:line="276" w:before="0" w:after="0"/>
              <w:jc w:val="left"/>
              <w:rPr>
                <w:rFonts w:ascii="Arial" w:hAnsi="Arial" w:eastAsia="Times New Roman" w:cs="Arial"/>
                <w:b/>
                <w:b/>
                <w:bCs/>
                <w:color w:val="auto"/>
                <w:kern w:val="0"/>
                <w:sz w:val="20"/>
                <w:szCs w:val="22"/>
                <w:lang w:val="pl-PL" w:eastAsia="pl-PL" w:bidi="ar-SA"/>
              </w:rPr>
            </w:pPr>
            <w:r>
              <w:rPr>
                <w:rFonts w:eastAsia="Times New Roman" w:cs="Arial"/>
                <w:b/>
                <w:bCs/>
                <w:color w:val="auto"/>
                <w:kern w:val="0"/>
                <w:sz w:val="20"/>
                <w:szCs w:val="22"/>
                <w:lang w:val="pl-PL" w:eastAsia="pl-PL" w:bidi="ar-SA"/>
              </w:rPr>
              <w:t>Wojewódzki Szpital Psychiatryczny</w:t>
            </w:r>
          </w:p>
          <w:p>
            <w:pPr>
              <w:pStyle w:val="Normal"/>
              <w:widowControl w:val="false"/>
              <w:suppressAutoHyphens w:val="false"/>
              <w:spacing w:lineRule="auto" w:line="240" w:before="0" w:after="0"/>
              <w:ind w:right="65" w:hanging="0"/>
              <w:rPr>
                <w:b/>
                <w:b/>
              </w:rPr>
            </w:pPr>
            <w:r>
              <w:rPr>
                <w:b/>
                <w:kern w:val="0"/>
                <w:sz w:val="20"/>
                <w:szCs w:val="22"/>
                <w:lang w:val="pl-PL" w:bidi="ar-SA"/>
              </w:rPr>
              <w:t xml:space="preserve">ul. </w:t>
            </w:r>
            <w:r>
              <w:rPr>
                <w:rFonts w:eastAsia="SimSun" w:cs="Arial"/>
                <w:b/>
                <w:color w:val="auto"/>
                <w:kern w:val="0"/>
                <w:sz w:val="20"/>
                <w:szCs w:val="22"/>
                <w:lang w:val="pl-PL" w:eastAsia="ar-SA" w:bidi="ar-SA"/>
              </w:rPr>
              <w:t>J. Dąbrowskiego 19</w:t>
            </w:r>
          </w:p>
          <w:p>
            <w:pPr>
              <w:pStyle w:val="Normal"/>
              <w:widowControl w:val="false"/>
              <w:suppressAutoHyphens w:val="false"/>
              <w:spacing w:lineRule="auto" w:line="240" w:before="0" w:after="0"/>
              <w:ind w:right="65" w:hanging="0"/>
              <w:rPr>
                <w:b/>
                <w:b/>
              </w:rPr>
            </w:pPr>
            <w:r>
              <w:rPr>
                <w:rFonts w:eastAsia="SimSun" w:cs="Arial"/>
                <w:b/>
                <w:color w:val="auto"/>
                <w:kern w:val="0"/>
                <w:sz w:val="20"/>
                <w:szCs w:val="22"/>
                <w:lang w:val="pl-PL" w:eastAsia="ar-SA" w:bidi="ar-SA"/>
              </w:rPr>
              <w:t>34-120 Andrychów</w:t>
            </w:r>
          </w:p>
        </w:tc>
      </w:tr>
    </w:tbl>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tbl>
      <w:tblPr>
        <w:tblStyle w:val="Tabela-Siatka"/>
        <w:tblW w:w="9639" w:type="dxa"/>
        <w:jc w:val="left"/>
        <w:tblInd w:w="-482" w:type="dxa"/>
        <w:tblLayout w:type="fixed"/>
        <w:tblCellMar>
          <w:top w:w="85" w:type="dxa"/>
          <w:left w:w="85" w:type="dxa"/>
          <w:bottom w:w="85" w:type="dxa"/>
          <w:right w:w="85" w:type="dxa"/>
        </w:tblCellMar>
        <w:tblLook w:firstRow="1" w:noVBand="1" w:lastRow="0" w:firstColumn="1" w:lastColumn="0" w:noHBand="0" w:val="04a0"/>
      </w:tblPr>
      <w:tblGrid>
        <w:gridCol w:w="2972"/>
        <w:gridCol w:w="2555"/>
        <w:gridCol w:w="1415"/>
        <w:gridCol w:w="1417"/>
        <w:gridCol w:w="1280"/>
      </w:tblGrid>
      <w:tr>
        <w:trPr/>
        <w:tc>
          <w:tcPr>
            <w:tcW w:w="2972" w:type="dxa"/>
            <w:tcBorders/>
            <w:vAlign w:val="center"/>
          </w:tcPr>
          <w:p>
            <w:pPr>
              <w:pStyle w:val="Normal"/>
              <w:widowControl w:val="false"/>
              <w:tabs>
                <w:tab w:val="clear" w:pos="720"/>
                <w:tab w:val="left" w:pos="795" w:leader="none"/>
              </w:tabs>
              <w:suppressAutoHyphens w:val="false"/>
              <w:spacing w:lineRule="auto" w:line="240" w:before="0" w:after="0"/>
              <w:jc w:val="left"/>
              <w:rPr>
                <w:b/>
                <w:b/>
                <w:color w:val="595959" w:themeColor="text1" w:themeTint="a6"/>
                <w:sz w:val="13"/>
                <w:szCs w:val="13"/>
                <w:lang w:eastAsia="pl-PL"/>
              </w:rPr>
            </w:pPr>
            <w:r>
              <w:rPr>
                <w:color w:val="595959" w:themeColor="text1" w:themeTint="a6"/>
                <w:kern w:val="0"/>
                <w:sz w:val="13"/>
                <w:szCs w:val="13"/>
                <w:lang w:val="pl-PL" w:eastAsia="pl-PL" w:bidi="ar-SA"/>
              </w:rPr>
              <w:t>IMIĘ I NAZWISKO</w:t>
            </w:r>
          </w:p>
        </w:tc>
        <w:tc>
          <w:tcPr>
            <w:tcW w:w="2555" w:type="dxa"/>
            <w:tcBorders/>
            <w:vAlign w:val="center"/>
          </w:tcPr>
          <w:p>
            <w:pPr>
              <w:pStyle w:val="Normal"/>
              <w:widowControl w:val="false"/>
              <w:tabs>
                <w:tab w:val="clear" w:pos="720"/>
                <w:tab w:val="left" w:pos="795" w:leader="none"/>
              </w:tabs>
              <w:spacing w:lineRule="auto" w:line="240" w:before="0" w:after="0"/>
              <w:jc w:val="left"/>
              <w:rPr>
                <w:color w:val="595959" w:themeColor="text1" w:themeTint="a6"/>
                <w:sz w:val="13"/>
                <w:szCs w:val="13"/>
              </w:rPr>
            </w:pPr>
            <w:r>
              <w:rPr>
                <w:color w:val="595959" w:themeColor="text1" w:themeTint="a6"/>
                <w:kern w:val="0"/>
                <w:sz w:val="13"/>
                <w:szCs w:val="13"/>
                <w:lang w:val="pl-PL" w:eastAsia="pl-PL" w:bidi="ar-SA"/>
              </w:rPr>
              <w:t>SPECJALNOŚĆ I NUMER UPRAWNIEŃ BUDOWLANYCH</w:t>
            </w:r>
          </w:p>
        </w:tc>
        <w:tc>
          <w:tcPr>
            <w:tcW w:w="1415" w:type="dxa"/>
            <w:tcBorders/>
            <w:vAlign w:val="center"/>
          </w:tcPr>
          <w:p>
            <w:pPr>
              <w:pStyle w:val="Normal"/>
              <w:widowControl w:val="false"/>
              <w:tabs>
                <w:tab w:val="clear" w:pos="720"/>
                <w:tab w:val="left" w:pos="795" w:leader="none"/>
              </w:tabs>
              <w:spacing w:lineRule="auto" w:line="240" w:before="0" w:after="0"/>
              <w:jc w:val="left"/>
              <w:rPr>
                <w:color w:val="595959" w:themeColor="text1" w:themeTint="a6"/>
                <w:sz w:val="13"/>
                <w:szCs w:val="13"/>
                <w:lang w:eastAsia="pl-PL"/>
              </w:rPr>
            </w:pPr>
            <w:r>
              <w:rPr>
                <w:color w:val="595959" w:themeColor="text1" w:themeTint="a6"/>
                <w:kern w:val="0"/>
                <w:sz w:val="13"/>
                <w:szCs w:val="13"/>
                <w:lang w:val="pl-PL" w:eastAsia="pl-PL" w:bidi="ar-SA"/>
              </w:rPr>
              <w:t>DATA OPRACOWANIA</w:t>
            </w:r>
          </w:p>
        </w:tc>
        <w:tc>
          <w:tcPr>
            <w:tcW w:w="1417" w:type="dxa"/>
            <w:tcBorders/>
            <w:vAlign w:val="center"/>
          </w:tcPr>
          <w:p>
            <w:pPr>
              <w:pStyle w:val="Normal"/>
              <w:widowControl w:val="false"/>
              <w:tabs>
                <w:tab w:val="clear" w:pos="720"/>
                <w:tab w:val="left" w:pos="795" w:leader="none"/>
              </w:tabs>
              <w:spacing w:lineRule="auto" w:line="240" w:before="0" w:after="0"/>
              <w:jc w:val="left"/>
              <w:rPr>
                <w:color w:val="595959" w:themeColor="text1" w:themeTint="a6"/>
                <w:sz w:val="13"/>
                <w:szCs w:val="13"/>
              </w:rPr>
            </w:pPr>
            <w:r>
              <w:rPr>
                <w:color w:val="595959" w:themeColor="text1" w:themeTint="a6"/>
                <w:kern w:val="0"/>
                <w:sz w:val="13"/>
                <w:szCs w:val="13"/>
                <w:lang w:val="pl-PL" w:eastAsia="pl-PL" w:bidi="ar-SA"/>
              </w:rPr>
              <w:t>ZAKRES OPRACOWANIA</w:t>
            </w:r>
          </w:p>
        </w:tc>
        <w:tc>
          <w:tcPr>
            <w:tcW w:w="1280" w:type="dxa"/>
            <w:tcBorders/>
            <w:vAlign w:val="center"/>
          </w:tcPr>
          <w:p>
            <w:pPr>
              <w:pStyle w:val="Normal"/>
              <w:widowControl w:val="false"/>
              <w:tabs>
                <w:tab w:val="clear" w:pos="720"/>
                <w:tab w:val="left" w:pos="795" w:leader="none"/>
              </w:tabs>
              <w:spacing w:lineRule="auto" w:line="240" w:before="0" w:after="0"/>
              <w:jc w:val="center"/>
              <w:rPr>
                <w:color w:val="595959" w:themeColor="text1" w:themeTint="a6"/>
                <w:sz w:val="13"/>
                <w:szCs w:val="13"/>
              </w:rPr>
            </w:pPr>
            <w:r>
              <w:rPr>
                <w:color w:val="595959" w:themeColor="text1" w:themeTint="a6"/>
                <w:kern w:val="0"/>
                <w:sz w:val="13"/>
                <w:szCs w:val="13"/>
                <w:lang w:val="pl-PL" w:eastAsia="pl-PL" w:bidi="ar-SA"/>
              </w:rPr>
              <w:t>PODPIS</w:t>
            </w:r>
          </w:p>
        </w:tc>
      </w:tr>
      <w:tr>
        <w:trPr/>
        <w:tc>
          <w:tcPr>
            <w:tcW w:w="2972" w:type="dxa"/>
            <w:tcBorders/>
            <w:vAlign w:val="center"/>
          </w:tcPr>
          <w:p>
            <w:pPr>
              <w:pStyle w:val="Normal"/>
              <w:widowControl w:val="false"/>
              <w:spacing w:lineRule="auto" w:line="240" w:before="0" w:after="0"/>
              <w:jc w:val="left"/>
              <w:rPr>
                <w:i/>
                <w:i/>
                <w:sz w:val="16"/>
                <w:szCs w:val="18"/>
              </w:rPr>
            </w:pPr>
            <w:r>
              <w:rPr>
                <w:i/>
                <w:kern w:val="0"/>
                <w:sz w:val="16"/>
                <w:szCs w:val="18"/>
                <w:lang w:val="pl-PL" w:bidi="ar-SA"/>
              </w:rPr>
              <w:t>Projektant główny:</w:t>
            </w:r>
          </w:p>
          <w:p>
            <w:pPr>
              <w:pStyle w:val="Normal"/>
              <w:widowControl w:val="false"/>
              <w:spacing w:lineRule="auto" w:line="240" w:before="0" w:after="0"/>
              <w:jc w:val="left"/>
              <w:rPr>
                <w:sz w:val="20"/>
              </w:rPr>
            </w:pPr>
            <w:r>
              <w:rPr>
                <w:kern w:val="0"/>
                <w:sz w:val="20"/>
                <w:szCs w:val="22"/>
                <w:lang w:val="pl-PL" w:bidi="ar-SA"/>
              </w:rPr>
              <w:t>mgr inż. Sławomir Koń</w:t>
            </w:r>
          </w:p>
        </w:tc>
        <w:tc>
          <w:tcPr>
            <w:tcW w:w="2555" w:type="dxa"/>
            <w:tcBorders/>
            <w:vAlign w:val="center"/>
          </w:tcPr>
          <w:p>
            <w:pPr>
              <w:pStyle w:val="Normal"/>
              <w:widowControl w:val="false"/>
              <w:spacing w:lineRule="auto" w:line="240" w:before="0" w:after="0"/>
              <w:jc w:val="center"/>
              <w:rPr>
                <w:color w:val="595959" w:themeColor="text1" w:themeTint="a6"/>
                <w:sz w:val="13"/>
                <w:szCs w:val="13"/>
              </w:rPr>
            </w:pPr>
            <w:r>
              <w:rPr>
                <w:color w:val="595959" w:themeColor="text1" w:themeTint="a6"/>
                <w:kern w:val="0"/>
                <w:sz w:val="13"/>
                <w:szCs w:val="13"/>
                <w:lang w:val="pl-PL" w:bidi="ar-SA"/>
              </w:rPr>
              <w:t>do projektowania bez ograniczeń</w:t>
            </w:r>
          </w:p>
          <w:p>
            <w:pPr>
              <w:pStyle w:val="Normal"/>
              <w:widowControl w:val="false"/>
              <w:spacing w:lineRule="auto" w:line="240" w:before="0" w:after="0"/>
              <w:jc w:val="center"/>
              <w:rPr>
                <w:color w:val="595959" w:themeColor="text1" w:themeTint="a6"/>
                <w:sz w:val="13"/>
                <w:szCs w:val="13"/>
              </w:rPr>
            </w:pPr>
            <w:r>
              <w:rPr>
                <w:color w:val="595959" w:themeColor="text1" w:themeTint="a6"/>
                <w:kern w:val="0"/>
                <w:sz w:val="13"/>
                <w:szCs w:val="13"/>
                <w:lang w:val="pl-PL" w:bidi="ar-SA"/>
              </w:rPr>
              <w:t>w specjalności architektonicznej</w:t>
            </w:r>
          </w:p>
          <w:p>
            <w:pPr>
              <w:pStyle w:val="Normal"/>
              <w:widowControl w:val="false"/>
              <w:spacing w:lineRule="auto" w:line="240" w:before="0" w:after="0"/>
              <w:jc w:val="center"/>
              <w:rPr>
                <w:sz w:val="20"/>
              </w:rPr>
            </w:pPr>
            <w:r>
              <w:rPr>
                <w:kern w:val="0"/>
                <w:sz w:val="20"/>
                <w:szCs w:val="22"/>
                <w:lang w:val="pl-PL" w:bidi="ar-SA"/>
              </w:rPr>
              <w:t>A-131/90</w:t>
            </w:r>
          </w:p>
        </w:tc>
        <w:tc>
          <w:tcPr>
            <w:tcW w:w="1415" w:type="dxa"/>
            <w:tcBorders/>
            <w:vAlign w:val="center"/>
          </w:tcPr>
          <w:p>
            <w:pPr>
              <w:pStyle w:val="Normal"/>
              <w:widowControl w:val="false"/>
              <w:spacing w:lineRule="auto" w:line="240" w:before="0" w:after="0"/>
              <w:jc w:val="center"/>
              <w:rPr>
                <w:sz w:val="20"/>
                <w:lang w:eastAsia="pl-PL"/>
              </w:rPr>
            </w:pPr>
            <w:r>
              <w:rPr>
                <w:kern w:val="0"/>
                <w:sz w:val="20"/>
                <w:szCs w:val="22"/>
                <w:lang w:val="pl-PL" w:eastAsia="pl-PL" w:bidi="ar-SA"/>
              </w:rPr>
              <w:t>12.202</w:t>
            </w:r>
            <w:r>
              <w:rPr>
                <w:rFonts w:eastAsia="SimSun" w:cs="Arial"/>
                <w:kern w:val="0"/>
                <w:sz w:val="20"/>
                <w:szCs w:val="22"/>
                <w:lang w:val="pl-PL" w:eastAsia="pl-PL" w:bidi="ar-SA"/>
              </w:rPr>
              <w:t>4</w:t>
            </w:r>
            <w:r>
              <w:rPr>
                <w:kern w:val="0"/>
                <w:sz w:val="20"/>
                <w:szCs w:val="22"/>
                <w:lang w:val="pl-PL" w:eastAsia="pl-PL" w:bidi="ar-SA"/>
              </w:rPr>
              <w:t>r.</w:t>
            </w:r>
          </w:p>
        </w:tc>
        <w:tc>
          <w:tcPr>
            <w:tcW w:w="1417" w:type="dxa"/>
            <w:tcBorders/>
            <w:vAlign w:val="center"/>
          </w:tcPr>
          <w:p>
            <w:pPr>
              <w:pStyle w:val="Normal"/>
              <w:widowControl w:val="false"/>
              <w:spacing w:lineRule="auto" w:line="240" w:before="0" w:after="0"/>
              <w:jc w:val="center"/>
              <w:rPr>
                <w:sz w:val="20"/>
              </w:rPr>
            </w:pPr>
            <w:r>
              <w:rPr>
                <w:kern w:val="0"/>
                <w:sz w:val="20"/>
                <w:szCs w:val="22"/>
                <w:lang w:val="pl-PL" w:eastAsia="pl-PL" w:bidi="ar-SA"/>
              </w:rPr>
              <w:t>Architektura</w:t>
            </w:r>
          </w:p>
        </w:tc>
        <w:tc>
          <w:tcPr>
            <w:tcW w:w="1280" w:type="dxa"/>
            <w:tcBorders/>
            <w:vAlign w:val="center"/>
          </w:tcPr>
          <w:p>
            <w:pPr>
              <w:pStyle w:val="Normal"/>
              <w:widowControl w:val="false"/>
              <w:spacing w:lineRule="auto" w:line="240" w:before="0" w:after="0"/>
              <w:rPr>
                <w:sz w:val="20"/>
              </w:rPr>
            </w:pPr>
            <w:r>
              <w:rPr>
                <w:sz w:val="20"/>
              </w:rPr>
            </w:r>
          </w:p>
        </w:tc>
      </w:tr>
      <w:tr>
        <w:trPr/>
        <w:tc>
          <w:tcPr>
            <w:tcW w:w="2972" w:type="dxa"/>
            <w:tcBorders/>
            <w:vAlign w:val="center"/>
          </w:tcPr>
          <w:p>
            <w:pPr>
              <w:pStyle w:val="Normal"/>
              <w:widowControl w:val="false"/>
              <w:spacing w:lineRule="auto" w:line="240" w:before="0" w:after="0"/>
              <w:jc w:val="left"/>
              <w:rPr>
                <w:i/>
                <w:i/>
                <w:sz w:val="16"/>
                <w:szCs w:val="18"/>
              </w:rPr>
            </w:pPr>
            <w:r>
              <w:rPr>
                <w:i/>
                <w:kern w:val="0"/>
                <w:sz w:val="16"/>
                <w:szCs w:val="18"/>
                <w:lang w:val="pl-PL" w:bidi="ar-SA"/>
              </w:rPr>
              <w:t>Sprawdzający:</w:t>
            </w:r>
          </w:p>
          <w:p>
            <w:pPr>
              <w:pStyle w:val="Normal"/>
              <w:widowControl w:val="false"/>
              <w:spacing w:lineRule="auto" w:line="240" w:before="0" w:after="0"/>
              <w:jc w:val="left"/>
              <w:rPr>
                <w:i/>
                <w:i/>
                <w:sz w:val="18"/>
                <w:szCs w:val="18"/>
              </w:rPr>
            </w:pPr>
            <w:r>
              <w:rPr>
                <w:kern w:val="0"/>
                <w:sz w:val="20"/>
                <w:szCs w:val="22"/>
                <w:lang w:val="pl-PL" w:bidi="ar-SA"/>
              </w:rPr>
              <w:t>mgr inż. arch. Barbara Koń</w:t>
            </w:r>
          </w:p>
        </w:tc>
        <w:tc>
          <w:tcPr>
            <w:tcW w:w="2555" w:type="dxa"/>
            <w:tcBorders/>
            <w:vAlign w:val="center"/>
          </w:tcPr>
          <w:p>
            <w:pPr>
              <w:pStyle w:val="Normal"/>
              <w:widowControl w:val="false"/>
              <w:spacing w:lineRule="auto" w:line="240" w:before="0" w:after="0"/>
              <w:jc w:val="center"/>
              <w:rPr>
                <w:color w:val="595959" w:themeColor="text1" w:themeTint="a6"/>
                <w:sz w:val="13"/>
                <w:szCs w:val="13"/>
              </w:rPr>
            </w:pPr>
            <w:r>
              <w:rPr>
                <w:color w:val="595959" w:themeColor="text1" w:themeTint="a6"/>
                <w:kern w:val="0"/>
                <w:sz w:val="13"/>
                <w:szCs w:val="13"/>
                <w:lang w:val="pl-PL" w:bidi="ar-SA"/>
              </w:rPr>
              <w:t>do projektowania bez ograniczeń</w:t>
            </w:r>
          </w:p>
          <w:p>
            <w:pPr>
              <w:pStyle w:val="Normal"/>
              <w:widowControl w:val="false"/>
              <w:spacing w:lineRule="auto" w:line="240" w:before="0" w:after="0"/>
              <w:jc w:val="center"/>
              <w:rPr>
                <w:color w:val="595959" w:themeColor="text1" w:themeTint="a6"/>
                <w:sz w:val="13"/>
                <w:szCs w:val="13"/>
              </w:rPr>
            </w:pPr>
            <w:r>
              <w:rPr>
                <w:color w:val="595959" w:themeColor="text1" w:themeTint="a6"/>
                <w:kern w:val="0"/>
                <w:sz w:val="13"/>
                <w:szCs w:val="13"/>
                <w:lang w:val="pl-PL" w:bidi="ar-SA"/>
              </w:rPr>
              <w:t>w specjalności architektonicznej</w:t>
            </w:r>
          </w:p>
          <w:p>
            <w:pPr>
              <w:pStyle w:val="Normal"/>
              <w:widowControl w:val="false"/>
              <w:spacing w:lineRule="auto" w:line="240" w:before="0" w:after="0"/>
              <w:jc w:val="center"/>
              <w:rPr>
                <w:color w:val="595959" w:themeColor="text1" w:themeTint="a6"/>
                <w:sz w:val="14"/>
                <w:szCs w:val="16"/>
              </w:rPr>
            </w:pPr>
            <w:r>
              <w:rPr>
                <w:kern w:val="0"/>
                <w:sz w:val="20"/>
                <w:szCs w:val="22"/>
                <w:lang w:val="pl-PL" w:bidi="ar-SA"/>
              </w:rPr>
              <w:t>A – 140/01</w:t>
            </w:r>
          </w:p>
        </w:tc>
        <w:tc>
          <w:tcPr>
            <w:tcW w:w="1415" w:type="dxa"/>
            <w:tcBorders/>
            <w:vAlign w:val="center"/>
          </w:tcPr>
          <w:p>
            <w:pPr>
              <w:pStyle w:val="Normal"/>
              <w:widowControl w:val="false"/>
              <w:spacing w:lineRule="auto" w:line="240" w:before="0" w:after="0"/>
              <w:jc w:val="center"/>
              <w:rPr>
                <w:sz w:val="20"/>
                <w:lang w:eastAsia="pl-PL"/>
              </w:rPr>
            </w:pPr>
            <w:r>
              <w:rPr>
                <w:kern w:val="0"/>
                <w:sz w:val="20"/>
                <w:szCs w:val="22"/>
                <w:lang w:val="pl-PL" w:eastAsia="pl-PL" w:bidi="ar-SA"/>
              </w:rPr>
              <w:t>12.202</w:t>
            </w:r>
            <w:r>
              <w:rPr>
                <w:rFonts w:eastAsia="SimSun" w:cs="Arial"/>
                <w:kern w:val="0"/>
                <w:sz w:val="20"/>
                <w:szCs w:val="22"/>
                <w:lang w:val="pl-PL" w:eastAsia="pl-PL" w:bidi="ar-SA"/>
              </w:rPr>
              <w:t>4</w:t>
            </w:r>
            <w:r>
              <w:rPr>
                <w:kern w:val="0"/>
                <w:sz w:val="20"/>
                <w:szCs w:val="22"/>
                <w:lang w:val="pl-PL" w:eastAsia="pl-PL" w:bidi="ar-SA"/>
              </w:rPr>
              <w:t>r.</w:t>
            </w:r>
          </w:p>
        </w:tc>
        <w:tc>
          <w:tcPr>
            <w:tcW w:w="1417" w:type="dxa"/>
            <w:tcBorders/>
            <w:vAlign w:val="center"/>
          </w:tcPr>
          <w:p>
            <w:pPr>
              <w:pStyle w:val="Normal"/>
              <w:widowControl w:val="false"/>
              <w:spacing w:lineRule="auto" w:line="240" w:before="0" w:after="0"/>
              <w:jc w:val="center"/>
              <w:rPr>
                <w:sz w:val="20"/>
                <w:lang w:eastAsia="pl-PL"/>
              </w:rPr>
            </w:pPr>
            <w:r>
              <w:rPr>
                <w:kern w:val="0"/>
                <w:sz w:val="20"/>
                <w:szCs w:val="22"/>
                <w:lang w:val="pl-PL" w:eastAsia="pl-PL" w:bidi="ar-SA"/>
              </w:rPr>
              <w:t>Architektura</w:t>
            </w:r>
          </w:p>
        </w:tc>
        <w:tc>
          <w:tcPr>
            <w:tcW w:w="1280" w:type="dxa"/>
            <w:tcBorders/>
            <w:vAlign w:val="center"/>
          </w:tcPr>
          <w:p>
            <w:pPr>
              <w:pStyle w:val="Normal"/>
              <w:widowControl w:val="false"/>
              <w:spacing w:lineRule="auto" w:line="240" w:before="0" w:after="0"/>
              <w:rPr>
                <w:sz w:val="20"/>
              </w:rPr>
            </w:pPr>
            <w:r>
              <w:rPr>
                <w:sz w:val="20"/>
              </w:rPr>
            </w:r>
          </w:p>
        </w:tc>
      </w:tr>
    </w:tbl>
    <w:p>
      <w:pPr>
        <w:pStyle w:val="Normal"/>
        <w:suppressAutoHyphens w:val="false"/>
        <w:spacing w:lineRule="auto" w:line="276" w:before="0" w:after="0"/>
        <w:jc w:val="center"/>
        <w:rPr>
          <w:sz w:val="20"/>
          <w:szCs w:val="22"/>
          <w:lang w:eastAsia="pl-PL"/>
        </w:rPr>
      </w:pPr>
      <w:r>
        <w:rPr>
          <w:sz w:val="20"/>
          <w:szCs w:val="22"/>
          <w:lang w:eastAsia="pl-PL"/>
        </w:rPr>
      </w:r>
    </w:p>
    <w:p>
      <w:pPr>
        <w:pStyle w:val="Normal"/>
        <w:suppressAutoHyphens w:val="false"/>
        <w:spacing w:lineRule="auto" w:line="276" w:before="0" w:after="0"/>
        <w:jc w:val="center"/>
        <w:rPr>
          <w:b/>
          <w:b/>
          <w:sz w:val="20"/>
          <w:szCs w:val="22"/>
          <w:lang w:eastAsia="pl-PL"/>
        </w:rPr>
      </w:pPr>
      <w:r>
        <w:rPr>
          <w:sz w:val="20"/>
          <w:szCs w:val="22"/>
          <w:lang w:eastAsia="pl-PL"/>
        </w:rPr>
        <w:t xml:space="preserve">Rzeszów, </w:t>
      </w:r>
      <w:r>
        <w:rPr>
          <w:sz w:val="20"/>
          <w:szCs w:val="22"/>
        </w:rPr>
        <w:t>12</w:t>
      </w:r>
      <w:r>
        <w:rPr>
          <w:sz w:val="20"/>
          <w:szCs w:val="22"/>
          <w:lang w:eastAsia="pl-PL"/>
        </w:rPr>
        <w:t>.202</w:t>
      </w:r>
      <w:r>
        <w:rPr>
          <w:rFonts w:eastAsia="SimSun" w:cs="Arial"/>
          <w:sz w:val="20"/>
          <w:szCs w:val="22"/>
          <w:lang w:eastAsia="pl-PL"/>
        </w:rPr>
        <w:t>4</w:t>
      </w:r>
      <w:r>
        <w:rPr>
          <w:sz w:val="20"/>
          <w:szCs w:val="22"/>
          <w:lang w:eastAsia="pl-PL"/>
        </w:rPr>
        <w:t>r</w:t>
      </w:r>
      <w:r>
        <w:rPr>
          <w:sz w:val="20"/>
          <w:szCs w:val="22"/>
        </w:rPr>
        <w:t>.</w:t>
      </w:r>
    </w:p>
    <w:p>
      <w:pPr>
        <w:pStyle w:val="SpistreciPZT"/>
        <w:ind w:right="0" w:hanging="0"/>
        <w:rPr>
          <w:szCs w:val="22"/>
        </w:rPr>
      </w:pPr>
      <w:r>
        <w:rPr>
          <w:szCs w:val="22"/>
        </w:rPr>
      </w:r>
      <w:r>
        <w:br w:type="page"/>
      </w:r>
    </w:p>
    <w:p>
      <w:pPr>
        <w:pStyle w:val="Akapit"/>
        <w:numPr>
          <w:ilvl w:val="0"/>
          <w:numId w:val="3"/>
        </w:numPr>
        <w:spacing w:lineRule="auto" w:line="276" w:before="0" w:after="240"/>
        <w:ind w:left="709" w:hanging="709"/>
        <w:rPr>
          <w:szCs w:val="22"/>
          <w:lang w:eastAsia="pl-PL"/>
        </w:rPr>
      </w:pPr>
      <w:bookmarkStart w:id="0" w:name="__RefHeading__5881_998750497"/>
      <w:bookmarkStart w:id="1" w:name="_Toc145681948"/>
      <w:bookmarkStart w:id="2" w:name="_Toc456859167"/>
      <w:bookmarkStart w:id="3" w:name="_Toc456336480"/>
      <w:bookmarkEnd w:id="0"/>
      <w:bookmarkEnd w:id="2"/>
      <w:bookmarkEnd w:id="3"/>
      <w:r>
        <w:rPr>
          <w:szCs w:val="22"/>
          <w:lang w:eastAsia="pl-PL"/>
        </w:rPr>
        <w:t>OGÓLNA SPECYFIKACJA TECHNICZNA</w:t>
      </w:r>
      <w:bookmarkEnd w:id="1"/>
    </w:p>
    <w:p>
      <w:pPr>
        <w:pStyle w:val="Akapit"/>
        <w:numPr>
          <w:ilvl w:val="0"/>
          <w:numId w:val="2"/>
        </w:numPr>
        <w:spacing w:lineRule="auto" w:line="276" w:before="0" w:after="240"/>
        <w:ind w:left="426" w:hanging="426"/>
        <w:rPr>
          <w:szCs w:val="22"/>
          <w:lang w:eastAsia="pl-PL"/>
        </w:rPr>
      </w:pPr>
      <w:bookmarkStart w:id="4" w:name="_Toc145681949"/>
      <w:r>
        <w:rPr>
          <w:szCs w:val="22"/>
          <w:lang w:eastAsia="pl-PL"/>
        </w:rPr>
        <w:t>OKREŚLENIE PRZEDMIOTU ZAMÓWIENIA</w:t>
      </w:r>
      <w:bookmarkEnd w:id="4"/>
    </w:p>
    <w:p>
      <w:pPr>
        <w:pStyle w:val="Akapit"/>
        <w:numPr>
          <w:ilvl w:val="1"/>
          <w:numId w:val="2"/>
        </w:numPr>
        <w:spacing w:lineRule="auto" w:line="276" w:before="0" w:after="240"/>
        <w:ind w:left="426" w:hanging="426"/>
        <w:rPr>
          <w:szCs w:val="22"/>
          <w:lang w:eastAsia="pl-PL"/>
        </w:rPr>
      </w:pPr>
      <w:bookmarkStart w:id="5" w:name="_Toc145681950"/>
      <w:r>
        <w:rPr>
          <w:szCs w:val="22"/>
          <w:lang w:eastAsia="pl-PL"/>
        </w:rPr>
        <w:t>Rodzaj, nazwa i lokalizacja ogólna przedsięwzięcia</w:t>
      </w:r>
      <w:bookmarkEnd w:id="5"/>
    </w:p>
    <w:p>
      <w:pPr>
        <w:pStyle w:val="ListParagraph"/>
        <w:suppressAutoHyphens w:val="false"/>
        <w:spacing w:lineRule="auto" w:line="276" w:before="0" w:after="0"/>
        <w:ind w:left="426" w:hanging="0"/>
        <w:rPr>
          <w:szCs w:val="22"/>
          <w:lang w:eastAsia="pl-PL"/>
        </w:rPr>
      </w:pPr>
      <w:r>
        <w:rPr>
          <w:szCs w:val="22"/>
          <w:lang w:eastAsia="pl-PL"/>
        </w:rPr>
        <w:t>Nazwa inwestycji:</w:t>
      </w:r>
    </w:p>
    <w:p>
      <w:pPr>
        <w:pStyle w:val="ListParagraph"/>
        <w:suppressAutoHyphens w:val="false"/>
        <w:spacing w:lineRule="auto" w:line="276" w:before="0" w:after="240"/>
        <w:ind w:left="426" w:hanging="0"/>
        <w:jc w:val="left"/>
        <w:rPr>
          <w:rFonts w:ascii="Arial" w:hAnsi="Arial" w:eastAsia="Times New Roman" w:cs="Arial"/>
          <w:color w:val="auto"/>
          <w:kern w:val="0"/>
          <w:sz w:val="20"/>
          <w:szCs w:val="22"/>
          <w:lang w:val="pl-PL" w:eastAsia="pl-PL" w:bidi="ar-SA"/>
        </w:rPr>
      </w:pPr>
      <w:r>
        <w:rPr>
          <w:rFonts w:eastAsia="Times New Roman" w:cs="Arial"/>
          <w:color w:val="auto"/>
          <w:kern w:val="0"/>
          <w:sz w:val="20"/>
          <w:szCs w:val="22"/>
          <w:lang w:val="pl-PL" w:eastAsia="pl-PL" w:bidi="ar-SA"/>
        </w:rPr>
        <w:t>Przebudowa budynku garażowo-magazynowego wraz z zagospodarowaniem terenu, infrastrukturą techniczną oraz rozbiórką zbiorników wodnych na działce nr ewid. 868/2 i części działki nr ewid. 857/41, obręb 0001, w Andrychowie.</w:t>
      </w:r>
    </w:p>
    <w:p>
      <w:pPr>
        <w:pStyle w:val="ListParagraph"/>
        <w:suppressAutoHyphens w:val="false"/>
        <w:spacing w:lineRule="auto" w:line="276" w:before="0" w:after="240"/>
        <w:ind w:left="426" w:hanging="0"/>
        <w:jc w:val="left"/>
        <w:rPr>
          <w:szCs w:val="22"/>
          <w:lang w:eastAsia="pl-PL"/>
        </w:rPr>
      </w:pPr>
      <w:r>
        <w:rPr>
          <w:szCs w:val="22"/>
          <w:lang w:eastAsia="pl-PL"/>
        </w:rPr>
        <w:t>Lokalizacja:</w:t>
        <w:br/>
      </w:r>
      <w:r>
        <w:rPr>
          <w:rFonts w:eastAsia="Calibri" w:cs="Arial" w:eastAsiaTheme="minorHAnsi"/>
          <w:bCs/>
          <w:color w:val="000000"/>
          <w:kern w:val="0"/>
          <w:sz w:val="22"/>
          <w:szCs w:val="22"/>
          <w:lang w:val="pl-PL" w:eastAsia="en-US" w:bidi="ar-SA"/>
        </w:rPr>
        <w:t>ul. J. Dąbrowskiego 19, 34-120 Andrychów</w:t>
      </w:r>
    </w:p>
    <w:p>
      <w:pPr>
        <w:pStyle w:val="Akapit"/>
        <w:numPr>
          <w:ilvl w:val="1"/>
          <w:numId w:val="2"/>
        </w:numPr>
        <w:spacing w:lineRule="auto" w:line="276" w:before="0" w:after="240"/>
        <w:ind w:left="426" w:hanging="426"/>
        <w:rPr>
          <w:szCs w:val="22"/>
          <w:lang w:eastAsia="pl-PL"/>
        </w:rPr>
      </w:pPr>
      <w:bookmarkStart w:id="6" w:name="_Toc145681951"/>
      <w:r>
        <w:rPr>
          <w:szCs w:val="22"/>
          <w:lang w:eastAsia="pl-PL"/>
        </w:rPr>
        <w:t>Uczestnicy procesu inwestycyjnego</w:t>
      </w:r>
      <w:bookmarkEnd w:id="6"/>
    </w:p>
    <w:p>
      <w:pPr>
        <w:pStyle w:val="ListParagraph"/>
        <w:tabs>
          <w:tab w:val="clear" w:pos="720"/>
          <w:tab w:val="left" w:pos="3332" w:leader="none"/>
        </w:tabs>
        <w:suppressAutoHyphens w:val="false"/>
        <w:spacing w:lineRule="auto" w:line="276" w:before="0" w:after="0"/>
        <w:ind w:left="426" w:hanging="0"/>
        <w:jc w:val="left"/>
        <w:rPr>
          <w:szCs w:val="22"/>
          <w:lang w:eastAsia="pl-PL"/>
        </w:rPr>
      </w:pPr>
      <w:r>
        <w:rPr>
          <w:szCs w:val="22"/>
          <w:lang w:eastAsia="pl-PL"/>
        </w:rPr>
        <w:t xml:space="preserve">Zamawiający: </w:t>
        <w:tab/>
      </w:r>
    </w:p>
    <w:p>
      <w:pPr>
        <w:pStyle w:val="ListParagraph"/>
        <w:suppressAutoHyphens w:val="false"/>
        <w:spacing w:lineRule="auto" w:line="276" w:before="0" w:after="240"/>
        <w:ind w:left="426" w:hanging="0"/>
        <w:jc w:val="left"/>
        <w:rPr>
          <w:szCs w:val="22"/>
          <w:highlight w:val="yellow"/>
          <w:lang w:eastAsia="pl-PL"/>
        </w:rPr>
      </w:pPr>
      <w:r>
        <w:rPr>
          <w:rFonts w:eastAsia="SimSun" w:cs="Arial"/>
          <w:bCs/>
          <w:color w:val="auto"/>
          <w:kern w:val="0"/>
          <w:sz w:val="22"/>
          <w:szCs w:val="22"/>
          <w:lang w:val="pl-PL" w:eastAsia="ar-SA" w:bidi="ar-SA"/>
        </w:rPr>
        <w:t>Wojewódzki Szpital Psychiatryczny</w:t>
      </w:r>
      <w:r>
        <w:rPr>
          <w:rFonts w:eastAsia="Times New Roman"/>
          <w:bCs/>
          <w:color w:val="000000"/>
          <w:szCs w:val="22"/>
          <w:lang w:eastAsia="pl-PL"/>
        </w:rPr>
        <w:br/>
      </w:r>
      <w:r>
        <w:rPr>
          <w:rFonts w:eastAsia="Calibri" w:eastAsiaTheme="minorHAnsi"/>
          <w:bCs/>
          <w:color w:val="000000"/>
          <w:szCs w:val="22"/>
          <w:lang w:eastAsia="en-US"/>
        </w:rPr>
        <w:t xml:space="preserve">ul. </w:t>
      </w:r>
      <w:r>
        <w:rPr>
          <w:rFonts w:eastAsia="Calibri" w:cs="Arial" w:eastAsiaTheme="minorHAnsi"/>
          <w:bCs/>
          <w:color w:val="000000"/>
          <w:kern w:val="0"/>
          <w:sz w:val="22"/>
          <w:szCs w:val="22"/>
          <w:lang w:val="pl-PL" w:eastAsia="en-US" w:bidi="ar-SA"/>
        </w:rPr>
        <w:t>J. Dąbrowskiego 19, 34-120 Andrychów</w:t>
      </w:r>
    </w:p>
    <w:p>
      <w:pPr>
        <w:pStyle w:val="Akapit"/>
        <w:numPr>
          <w:ilvl w:val="1"/>
          <w:numId w:val="2"/>
        </w:numPr>
        <w:spacing w:lineRule="auto" w:line="276" w:before="0" w:after="240"/>
        <w:ind w:left="426" w:hanging="426"/>
        <w:rPr>
          <w:szCs w:val="22"/>
          <w:lang w:eastAsia="pl-PL"/>
        </w:rPr>
      </w:pPr>
      <w:bookmarkStart w:id="7" w:name="_Toc145681952"/>
      <w:r>
        <w:rPr>
          <w:szCs w:val="22"/>
          <w:lang w:eastAsia="pl-PL"/>
        </w:rPr>
        <w:t>Charakterystyka przedsięwzięcia</w:t>
      </w:r>
      <w:bookmarkEnd w:id="7"/>
    </w:p>
    <w:p>
      <w:pPr>
        <w:pStyle w:val="Normal"/>
        <w:suppressAutoHyphens w:val="false"/>
        <w:spacing w:lineRule="auto" w:line="276" w:before="0" w:after="0"/>
        <w:jc w:val="left"/>
        <w:rPr>
          <w:szCs w:val="22"/>
          <w:lang w:eastAsia="pl-PL"/>
        </w:rPr>
      </w:pPr>
      <w:r>
        <w:rPr>
          <w:szCs w:val="22"/>
          <w:lang w:eastAsia="pl-PL"/>
        </w:rPr>
        <w:t xml:space="preserve">Roboty budowlane związane z </w:t>
      </w:r>
      <w:r>
        <w:rPr>
          <w:rFonts w:eastAsia="SimSun" w:cs="Arial"/>
          <w:color w:val="auto"/>
          <w:kern w:val="0"/>
          <w:sz w:val="22"/>
          <w:szCs w:val="22"/>
          <w:lang w:val="pl-PL" w:eastAsia="pl-PL" w:bidi="ar-SA"/>
        </w:rPr>
        <w:t>przebudową budynku garażowo-magazynowego wraz z zagospodarowaniem terenu, infrastrukturą techniczną oraz rozbiórką zbiorników wodnych na działce nr ewid. 868/2 i części działki nr ewid. 857/41, obręb 0001, w Andrychowie</w:t>
      </w:r>
      <w:r>
        <w:rPr>
          <w:rFonts w:eastAsia="Times New Roman"/>
          <w:szCs w:val="22"/>
          <w:lang w:eastAsia="pl-PL"/>
        </w:rPr>
        <w:t xml:space="preserve"> </w:t>
      </w:r>
      <w:r>
        <w:rPr>
          <w:szCs w:val="22"/>
          <w:lang w:eastAsia="pl-PL"/>
        </w:rPr>
        <w:t>obejmują:</w:t>
      </w:r>
    </w:p>
    <w:p>
      <w:pPr>
        <w:pStyle w:val="ListParagraph"/>
        <w:widowControl w:val="false"/>
        <w:numPr>
          <w:ilvl w:val="0"/>
          <w:numId w:val="14"/>
        </w:numPr>
        <w:tabs>
          <w:tab w:val="clear" w:pos="720"/>
          <w:tab w:val="left" w:pos="953" w:leader="none"/>
        </w:tabs>
        <w:suppressAutoHyphens w:val="false"/>
        <w:spacing w:lineRule="auto" w:line="240" w:before="137" w:after="0"/>
        <w:ind w:left="953" w:hanging="244"/>
        <w:rPr/>
      </w:pPr>
      <w:r>
        <w:rPr>
          <w:rFonts w:eastAsia="SimSun" w:cs="Arial"/>
          <w:color w:val="auto"/>
          <w:kern w:val="0"/>
          <w:sz w:val="22"/>
          <w:szCs w:val="20"/>
          <w:lang w:val="pl-PL" w:eastAsia="ar-SA" w:bidi="ar-SA"/>
        </w:rPr>
        <w:t>Prace rozbiórkowe</w:t>
      </w:r>
      <w:r>
        <w:rPr/>
        <w:t xml:space="preserve">, </w:t>
      </w:r>
    </w:p>
    <w:p>
      <w:pPr>
        <w:pStyle w:val="ListParagraph"/>
        <w:widowControl w:val="false"/>
        <w:numPr>
          <w:ilvl w:val="0"/>
          <w:numId w:val="14"/>
        </w:numPr>
        <w:tabs>
          <w:tab w:val="clear" w:pos="720"/>
          <w:tab w:val="left" w:pos="953" w:leader="none"/>
        </w:tabs>
        <w:suppressAutoHyphens w:val="false"/>
        <w:spacing w:lineRule="auto" w:line="240" w:before="137" w:after="0"/>
        <w:ind w:left="953" w:hanging="244"/>
        <w:rPr/>
      </w:pPr>
      <w:r>
        <w:rPr>
          <w:rFonts w:eastAsia="SimSun" w:cs="Arial"/>
          <w:color w:val="auto"/>
          <w:kern w:val="0"/>
          <w:sz w:val="22"/>
          <w:szCs w:val="20"/>
          <w:lang w:val="pl-PL" w:eastAsia="ar-SA" w:bidi="ar-SA"/>
        </w:rPr>
        <w:t>Prace ziemne</w:t>
      </w:r>
      <w:r>
        <w:rPr/>
        <w:t xml:space="preserve">, </w:t>
      </w:r>
    </w:p>
    <w:p>
      <w:pPr>
        <w:pStyle w:val="ListParagraph"/>
        <w:widowControl w:val="false"/>
        <w:tabs>
          <w:tab w:val="clear" w:pos="720"/>
          <w:tab w:val="left" w:pos="953" w:leader="none"/>
        </w:tabs>
        <w:suppressAutoHyphens w:val="false"/>
        <w:spacing w:lineRule="auto" w:line="240" w:before="137" w:after="0"/>
        <w:ind w:left="708" w:hanging="0"/>
        <w:rPr/>
      </w:pPr>
      <w:r>
        <w:rPr/>
      </w:r>
    </w:p>
    <w:p>
      <w:pPr>
        <w:pStyle w:val="Akapit"/>
        <w:numPr>
          <w:ilvl w:val="1"/>
          <w:numId w:val="2"/>
        </w:numPr>
        <w:spacing w:lineRule="auto" w:line="276" w:before="0" w:after="240"/>
        <w:ind w:left="567" w:hanging="567"/>
        <w:rPr>
          <w:szCs w:val="22"/>
          <w:lang w:eastAsia="pl-PL"/>
        </w:rPr>
      </w:pPr>
      <w:bookmarkStart w:id="8" w:name="_Toc145681953"/>
      <w:r>
        <w:rPr>
          <w:szCs w:val="22"/>
          <w:lang w:eastAsia="pl-PL"/>
        </w:rPr>
        <w:t>Dokumentacja techniczna określająca przedmiot zamówienia i stanowiąca podstawę do realizacji robót</w:t>
      </w:r>
      <w:bookmarkEnd w:id="8"/>
    </w:p>
    <w:p>
      <w:pPr>
        <w:pStyle w:val="ListParagraph"/>
        <w:numPr>
          <w:ilvl w:val="2"/>
          <w:numId w:val="2"/>
        </w:numPr>
        <w:spacing w:lineRule="auto" w:line="276" w:before="0" w:after="0"/>
        <w:ind w:left="567" w:hanging="567"/>
        <w:rPr>
          <w:b/>
          <w:b/>
          <w:szCs w:val="22"/>
          <w:lang w:eastAsia="pl-PL"/>
        </w:rPr>
      </w:pPr>
      <w:r>
        <w:rPr>
          <w:b/>
          <w:szCs w:val="22"/>
          <w:lang w:eastAsia="pl-PL"/>
        </w:rPr>
        <w:t>Projekt techniczny w branżach:</w:t>
      </w:r>
    </w:p>
    <w:p>
      <w:pPr>
        <w:pStyle w:val="ListParagraph"/>
        <w:numPr>
          <w:ilvl w:val="0"/>
          <w:numId w:val="4"/>
        </w:numPr>
        <w:spacing w:lineRule="auto" w:line="276" w:before="0" w:after="0"/>
        <w:ind w:left="284" w:hanging="284"/>
        <w:rPr>
          <w:rFonts w:ascii="Arial" w:hAnsi="Arial" w:eastAsia="SimSun" w:cs="Arial"/>
          <w:sz w:val="22"/>
          <w:szCs w:val="22"/>
          <w:lang w:eastAsia="pl-PL"/>
        </w:rPr>
      </w:pPr>
      <w:r>
        <w:rPr>
          <w:rFonts w:eastAsia="SimSun" w:cs="Arial"/>
          <w:sz w:val="22"/>
          <w:szCs w:val="22"/>
          <w:lang w:eastAsia="pl-PL"/>
        </w:rPr>
        <w:t>PZT</w:t>
      </w:r>
      <w:r>
        <w:rPr>
          <w:rFonts w:eastAsia="SimSun" w:cs="Arial"/>
          <w:sz w:val="22"/>
          <w:szCs w:val="22"/>
          <w:lang w:eastAsia="pl-PL"/>
        </w:rPr>
        <w:t xml:space="preserve">, </w:t>
      </w:r>
      <w:r>
        <w:rPr>
          <w:rFonts w:eastAsia="SimSun" w:cs="Arial"/>
          <w:sz w:val="22"/>
          <w:szCs w:val="22"/>
          <w:lang w:eastAsia="pl-PL"/>
        </w:rPr>
        <w:t>rozbiórki</w:t>
      </w:r>
    </w:p>
    <w:p>
      <w:pPr>
        <w:pStyle w:val="ListParagraph"/>
        <w:numPr>
          <w:ilvl w:val="2"/>
          <w:numId w:val="2"/>
        </w:numPr>
        <w:spacing w:lineRule="auto" w:line="276" w:before="0" w:after="240"/>
        <w:ind w:left="567" w:hanging="567"/>
        <w:rPr>
          <w:b/>
          <w:b/>
          <w:szCs w:val="22"/>
          <w:lang w:eastAsia="pl-PL"/>
        </w:rPr>
      </w:pPr>
      <w:r>
        <w:rPr>
          <w:b/>
          <w:szCs w:val="22"/>
          <w:lang w:eastAsia="pl-PL"/>
        </w:rPr>
        <w:t>Przedmiar robót będący poglądem na przewidzianą technologię realizacji oraz przyjęty zakres realizacji do wyliczenia wartości zadania</w:t>
      </w:r>
    </w:p>
    <w:p>
      <w:pPr>
        <w:pStyle w:val="ListParagraph"/>
        <w:numPr>
          <w:ilvl w:val="2"/>
          <w:numId w:val="2"/>
        </w:numPr>
        <w:spacing w:lineRule="auto" w:line="276" w:before="0" w:after="0"/>
        <w:ind w:left="567" w:hanging="567"/>
        <w:rPr>
          <w:b/>
          <w:b/>
          <w:szCs w:val="22"/>
          <w:lang w:eastAsia="pl-PL"/>
        </w:rPr>
      </w:pPr>
      <w:r>
        <w:rPr>
          <w:b/>
          <w:szCs w:val="22"/>
          <w:lang w:eastAsia="pl-PL"/>
        </w:rPr>
        <w:t>Spis szczegółowych specyfikacji technicznych</w:t>
      </w:r>
    </w:p>
    <w:p>
      <w:pPr>
        <w:pStyle w:val="ListParagraph"/>
        <w:numPr>
          <w:ilvl w:val="0"/>
          <w:numId w:val="16"/>
        </w:numPr>
        <w:spacing w:lineRule="auto" w:line="276" w:before="0" w:after="0"/>
        <w:ind w:left="567" w:hanging="283"/>
        <w:rPr>
          <w:szCs w:val="22"/>
          <w:lang w:eastAsia="pl-PL"/>
        </w:rPr>
      </w:pPr>
      <w:r>
        <w:rPr>
          <w:szCs w:val="22"/>
          <w:lang w:eastAsia="pl-PL"/>
        </w:rPr>
        <w:t>ogólna specyfikacja techniczna</w:t>
      </w:r>
    </w:p>
    <w:p>
      <w:pPr>
        <w:pStyle w:val="ListParagraph"/>
        <w:numPr>
          <w:ilvl w:val="0"/>
          <w:numId w:val="16"/>
        </w:numPr>
        <w:spacing w:lineRule="auto" w:line="276" w:before="0" w:after="0"/>
        <w:ind w:left="567" w:hanging="283"/>
        <w:rPr>
          <w:szCs w:val="22"/>
          <w:lang w:eastAsia="pl-PL"/>
        </w:rPr>
      </w:pPr>
      <w:r>
        <w:rPr>
          <w:szCs w:val="22"/>
          <w:lang w:eastAsia="pl-PL"/>
        </w:rPr>
        <w:t>szczegółowe specyfikacje techniczne</w:t>
      </w:r>
    </w:p>
    <w:p>
      <w:pPr>
        <w:pStyle w:val="ListParagraph"/>
        <w:numPr>
          <w:ilvl w:val="1"/>
          <w:numId w:val="5"/>
        </w:numPr>
        <w:suppressAutoHyphens w:val="false"/>
        <w:spacing w:lineRule="auto" w:line="276" w:before="0" w:after="0"/>
        <w:ind w:left="567" w:hanging="283"/>
        <w:jc w:val="left"/>
        <w:rPr>
          <w:rFonts w:eastAsia="Times New Roman"/>
          <w:szCs w:val="22"/>
          <w:lang w:eastAsia="pl-PL"/>
        </w:rPr>
      </w:pPr>
      <w:r>
        <w:rPr>
          <w:rFonts w:eastAsia="Times New Roman"/>
          <w:szCs w:val="22"/>
          <w:lang w:eastAsia="pl-PL"/>
        </w:rPr>
        <w:t xml:space="preserve">ST-0, SST-B-01 </w:t>
      </w:r>
      <w:r>
        <w:rPr>
          <w:rFonts w:eastAsia="Times New Roman" w:cs="Arial"/>
          <w:color w:val="auto"/>
          <w:kern w:val="0"/>
          <w:sz w:val="22"/>
          <w:szCs w:val="22"/>
          <w:lang w:val="pl-PL" w:eastAsia="pl-PL" w:bidi="ar-SA"/>
        </w:rPr>
        <w:t>Roboty przygotowawcze</w:t>
      </w:r>
      <w:r>
        <w:rPr>
          <w:rFonts w:eastAsia="Times New Roman" w:cs="Arial"/>
          <w:sz w:val="22"/>
          <w:szCs w:val="22"/>
          <w:lang w:eastAsia="pl-PL"/>
        </w:rPr>
        <w:t xml:space="preserve"> </w:t>
      </w:r>
    </w:p>
    <w:p>
      <w:pPr>
        <w:pStyle w:val="ListParagraph"/>
        <w:numPr>
          <w:ilvl w:val="1"/>
          <w:numId w:val="5"/>
        </w:numPr>
        <w:suppressAutoHyphens w:val="false"/>
        <w:spacing w:lineRule="auto" w:line="276" w:before="0" w:after="0"/>
        <w:ind w:left="567" w:hanging="283"/>
        <w:jc w:val="left"/>
        <w:rPr>
          <w:rFonts w:eastAsia="Times New Roman"/>
          <w:szCs w:val="22"/>
          <w:lang w:eastAsia="pl-PL"/>
        </w:rPr>
      </w:pPr>
      <w:r>
        <w:rPr>
          <w:rFonts w:eastAsia="Times New Roman" w:cs="Arial"/>
          <w:color w:val="auto"/>
          <w:kern w:val="0"/>
          <w:sz w:val="22"/>
          <w:szCs w:val="22"/>
          <w:lang w:val="pl-PL" w:eastAsia="pl-PL" w:bidi="ar-SA"/>
        </w:rPr>
        <w:t>ST-0, SST-PZ-01.02.01 – Roboty ziemne, wykopy i zasypy</w:t>
      </w:r>
    </w:p>
    <w:p>
      <w:pPr>
        <w:pStyle w:val="ListParagraph"/>
        <w:numPr>
          <w:ilvl w:val="0"/>
          <w:numId w:val="0"/>
        </w:numPr>
        <w:suppressAutoHyphens w:val="false"/>
        <w:spacing w:lineRule="auto" w:line="276" w:before="0" w:after="0"/>
        <w:ind w:left="2160" w:hanging="0"/>
        <w:jc w:val="left"/>
        <w:rPr/>
      </w:pPr>
      <w:r>
        <w:rPr/>
      </w:r>
    </w:p>
    <w:p>
      <w:pPr>
        <w:pStyle w:val="ListParagraph"/>
        <w:numPr>
          <w:ilvl w:val="2"/>
          <w:numId w:val="2"/>
        </w:numPr>
        <w:suppressAutoHyphens w:val="false"/>
        <w:spacing w:lineRule="auto" w:line="276" w:before="0" w:after="0"/>
        <w:ind w:left="567" w:hanging="567"/>
        <w:jc w:val="left"/>
        <w:rPr>
          <w:b/>
          <w:b/>
          <w:szCs w:val="22"/>
          <w:lang w:eastAsia="pl-PL"/>
        </w:rPr>
      </w:pPr>
      <w:r>
        <w:rPr>
          <w:b/>
          <w:szCs w:val="22"/>
          <w:lang w:eastAsia="pl-PL"/>
        </w:rPr>
        <w:t>Zgodność robót z dokumentacją techniczną</w:t>
      </w:r>
    </w:p>
    <w:p>
      <w:pPr>
        <w:pStyle w:val="ListParagraph"/>
        <w:suppressAutoHyphens w:val="false"/>
        <w:spacing w:lineRule="auto" w:line="276" w:before="0" w:after="240"/>
        <w:ind w:left="0" w:hanging="0"/>
        <w:rPr>
          <w:szCs w:val="22"/>
          <w:lang w:eastAsia="pl-PL"/>
        </w:rPr>
      </w:pPr>
      <w:r>
        <w:rPr>
          <w:szCs w:val="22"/>
          <w:lang w:eastAsia="pl-PL"/>
        </w:rPr>
        <w:t>Wykonawca jest odpowiedzialny za jakość i zgodność prac z dokumentacją techniczną, specyfikacjami technicznymi i instrukcjami zarządcy umowy.</w:t>
      </w:r>
    </w:p>
    <w:p>
      <w:pPr>
        <w:pStyle w:val="ListParagraph"/>
        <w:suppressAutoHyphens w:val="false"/>
        <w:spacing w:lineRule="auto" w:line="276" w:before="0" w:after="240"/>
        <w:ind w:left="0" w:hanging="0"/>
        <w:rPr>
          <w:szCs w:val="22"/>
          <w:lang w:eastAsia="pl-PL"/>
        </w:rPr>
      </w:pPr>
      <w:r>
        <w:rPr>
          <w:szCs w:val="22"/>
          <w:lang w:eastAsia="pl-PL"/>
        </w:rPr>
        <w:t>Wykonawca jest zobowiązany wykonywać wszystkie roboty ściśle wg otrzymanej dokumentacji technicznej. W przypadku konieczności uzupełnienia dokumentacji zaistniałej w czasie realizacji robót wykonawca przygotuje niezbędne rysunki we własnym zakresie i przedłoży je w trzech kopiach do akceptacji osobie zarządzającej realizacją umowy.</w:t>
      </w:r>
    </w:p>
    <w:p>
      <w:pPr>
        <w:pStyle w:val="Normal"/>
        <w:suppressAutoHyphens w:val="false"/>
        <w:spacing w:lineRule="auto" w:line="276" w:before="0" w:after="0"/>
        <w:rPr>
          <w:szCs w:val="22"/>
          <w:lang w:eastAsia="pl-PL"/>
        </w:rPr>
      </w:pPr>
      <w:r>
        <w:rPr>
          <w:szCs w:val="22"/>
          <w:lang w:eastAsia="pl-PL"/>
        </w:rPr>
        <w:t>Dokumentacja Projektowa, Specyfikacja Techniczna oraz reszta przekazanych przez Zamawiającego dokumentacji stanowią część zlecenia, a wymagania w nich wyszczególnione są obowiązujące dla Wykonawcy tak jakby zawarte były w całej dokumentacji.</w:t>
      </w:r>
    </w:p>
    <w:p>
      <w:pPr>
        <w:pStyle w:val="Normal"/>
        <w:suppressAutoHyphens w:val="false"/>
        <w:spacing w:lineRule="auto" w:line="276" w:before="0" w:after="0"/>
        <w:rPr>
          <w:szCs w:val="22"/>
          <w:lang w:eastAsia="pl-PL"/>
        </w:rPr>
      </w:pPr>
      <w:r>
        <w:rPr>
          <w:szCs w:val="22"/>
          <w:lang w:eastAsia="pl-PL"/>
        </w:rPr>
        <w:t>W przypadku rozbieżności w ustaleniach poszczególnych dokumentów obowiązująca kolejność ich wagi:</w:t>
      </w:r>
    </w:p>
    <w:p>
      <w:pPr>
        <w:pStyle w:val="ListParagraph"/>
        <w:numPr>
          <w:ilvl w:val="0"/>
          <w:numId w:val="6"/>
        </w:numPr>
        <w:suppressAutoHyphens w:val="false"/>
        <w:spacing w:lineRule="auto" w:line="276" w:before="0" w:after="0"/>
        <w:ind w:left="993" w:hanging="284"/>
        <w:rPr>
          <w:szCs w:val="22"/>
          <w:lang w:eastAsia="pl-PL"/>
        </w:rPr>
      </w:pPr>
      <w:r>
        <w:rPr>
          <w:szCs w:val="22"/>
          <w:lang w:eastAsia="pl-PL"/>
        </w:rPr>
        <w:t>Dokumentacja projektowa</w:t>
      </w:r>
    </w:p>
    <w:p>
      <w:pPr>
        <w:pStyle w:val="ListParagraph"/>
        <w:numPr>
          <w:ilvl w:val="0"/>
          <w:numId w:val="6"/>
        </w:numPr>
        <w:suppressAutoHyphens w:val="false"/>
        <w:spacing w:lineRule="auto" w:line="276" w:before="0" w:after="0"/>
        <w:ind w:left="993" w:hanging="284"/>
        <w:rPr>
          <w:szCs w:val="22"/>
          <w:lang w:eastAsia="pl-PL"/>
        </w:rPr>
      </w:pPr>
      <w:r>
        <w:rPr>
          <w:szCs w:val="22"/>
          <w:lang w:eastAsia="pl-PL"/>
        </w:rPr>
        <w:t>Specyfikacje techniczne</w:t>
      </w:r>
    </w:p>
    <w:p>
      <w:pPr>
        <w:pStyle w:val="ListParagraph"/>
        <w:numPr>
          <w:ilvl w:val="0"/>
          <w:numId w:val="6"/>
        </w:numPr>
        <w:suppressAutoHyphens w:val="false"/>
        <w:spacing w:lineRule="auto" w:line="276" w:before="0" w:after="0"/>
        <w:ind w:left="993" w:hanging="284"/>
        <w:rPr>
          <w:szCs w:val="22"/>
          <w:lang w:eastAsia="pl-PL"/>
        </w:rPr>
      </w:pPr>
      <w:r>
        <w:rPr>
          <w:szCs w:val="22"/>
          <w:lang w:eastAsia="pl-PL"/>
        </w:rPr>
        <w:t>Przedmiar robót</w:t>
      </w:r>
    </w:p>
    <w:p>
      <w:pPr>
        <w:pStyle w:val="ListParagraph"/>
        <w:suppressAutoHyphens w:val="false"/>
        <w:spacing w:lineRule="auto" w:line="276" w:before="0" w:after="0"/>
        <w:ind w:left="993" w:hanging="0"/>
        <w:rPr>
          <w:szCs w:val="22"/>
          <w:lang w:eastAsia="pl-PL"/>
        </w:rPr>
      </w:pPr>
      <w:r>
        <w:rPr>
          <w:szCs w:val="22"/>
          <w:lang w:eastAsia="pl-PL"/>
        </w:rPr>
      </w:r>
    </w:p>
    <w:p>
      <w:pPr>
        <w:pStyle w:val="Normal"/>
        <w:suppressAutoHyphens w:val="false"/>
        <w:spacing w:lineRule="auto" w:line="276" w:before="0" w:after="240"/>
        <w:rPr>
          <w:szCs w:val="22"/>
          <w:u w:val="single"/>
          <w:lang w:eastAsia="pl-PL"/>
        </w:rPr>
      </w:pPr>
      <w:r>
        <w:rPr>
          <w:szCs w:val="22"/>
          <w:u w:val="single"/>
          <w:lang w:eastAsia="pl-PL"/>
        </w:rPr>
        <w:t>Zabrania się wykonawcy wykorzystywania błędów lub opuszczeni w Dokumentach Przetargowych, a o ich wykryciu winien bezzwłocznie powiadomić Zamawiającego, który dokona odpowiednich zmian lub wprowadzi poprawki.</w:t>
      </w:r>
    </w:p>
    <w:p>
      <w:pPr>
        <w:pStyle w:val="Akapit"/>
        <w:numPr>
          <w:ilvl w:val="1"/>
          <w:numId w:val="2"/>
        </w:numPr>
        <w:spacing w:lineRule="auto" w:line="276" w:before="0" w:after="0"/>
        <w:ind w:left="426" w:hanging="426"/>
        <w:rPr>
          <w:szCs w:val="22"/>
          <w:lang w:eastAsia="pl-PL"/>
        </w:rPr>
      </w:pPr>
      <w:bookmarkStart w:id="9" w:name="_Toc145681954"/>
      <w:r>
        <w:rPr>
          <w:szCs w:val="22"/>
          <w:lang w:eastAsia="pl-PL"/>
        </w:rPr>
        <w:t>Określenia podstawowe</w:t>
      </w:r>
      <w:bookmarkEnd w:id="9"/>
    </w:p>
    <w:p>
      <w:pPr>
        <w:pStyle w:val="Normal"/>
        <w:spacing w:lineRule="auto" w:line="276" w:before="0" w:after="240"/>
        <w:rPr>
          <w:szCs w:val="22"/>
          <w:lang w:eastAsia="pl-PL"/>
        </w:rPr>
      </w:pPr>
      <w:r>
        <w:rPr>
          <w:szCs w:val="22"/>
          <w:lang w:eastAsia="pl-PL"/>
        </w:rPr>
        <w:t>Ilekroć w ST jest mowa o:</w:t>
      </w:r>
    </w:p>
    <w:p>
      <w:pPr>
        <w:pStyle w:val="ListParagraph"/>
        <w:numPr>
          <w:ilvl w:val="2"/>
          <w:numId w:val="2"/>
        </w:numPr>
        <w:spacing w:lineRule="auto" w:line="276" w:before="0" w:after="0"/>
        <w:ind w:left="284" w:hanging="284"/>
        <w:rPr>
          <w:szCs w:val="22"/>
          <w:lang w:eastAsia="pl-PL"/>
        </w:rPr>
      </w:pPr>
      <w:r>
        <w:rPr>
          <w:b/>
          <w:i/>
          <w:szCs w:val="22"/>
          <w:lang w:eastAsia="pl-PL"/>
        </w:rPr>
        <w:t>obiekcie budowlanym</w:t>
      </w:r>
      <w:r>
        <w:rPr>
          <w:szCs w:val="22"/>
          <w:lang w:eastAsia="pl-PL"/>
        </w:rPr>
        <w:t xml:space="preserve"> – należy przez to rozumieć:</w:t>
      </w:r>
    </w:p>
    <w:p>
      <w:pPr>
        <w:pStyle w:val="ListParagraph"/>
        <w:numPr>
          <w:ilvl w:val="0"/>
          <w:numId w:val="7"/>
        </w:numPr>
        <w:spacing w:lineRule="auto" w:line="276" w:before="0" w:after="0"/>
        <w:ind w:left="284" w:hanging="284"/>
        <w:rPr>
          <w:szCs w:val="22"/>
          <w:lang w:eastAsia="pl-PL"/>
        </w:rPr>
      </w:pPr>
      <w:r>
        <w:rPr>
          <w:szCs w:val="22"/>
          <w:lang w:eastAsia="pl-PL"/>
        </w:rPr>
        <w:t>budynek wraz z instalacjami i urządzeniami technicznymi,</w:t>
      </w:r>
    </w:p>
    <w:p>
      <w:pPr>
        <w:pStyle w:val="ListParagraph"/>
        <w:numPr>
          <w:ilvl w:val="0"/>
          <w:numId w:val="7"/>
        </w:numPr>
        <w:spacing w:lineRule="auto" w:line="276" w:before="0" w:after="240"/>
        <w:ind w:left="284" w:hanging="284"/>
        <w:rPr>
          <w:szCs w:val="22"/>
          <w:lang w:eastAsia="pl-PL"/>
        </w:rPr>
      </w:pPr>
      <w:r>
        <w:rPr>
          <w:szCs w:val="22"/>
          <w:lang w:eastAsia="pl-PL"/>
        </w:rPr>
        <w:t>budowlę stanowiącą całość techniczno-użytkową wraz z instalacjami i urządzeniami;</w:t>
      </w:r>
    </w:p>
    <w:p>
      <w:pPr>
        <w:pStyle w:val="ListParagraph"/>
        <w:numPr>
          <w:ilvl w:val="2"/>
          <w:numId w:val="2"/>
        </w:numPr>
        <w:spacing w:lineRule="auto" w:line="276" w:before="0" w:after="240"/>
        <w:ind w:left="284" w:hanging="284"/>
        <w:rPr>
          <w:i/>
          <w:i/>
          <w:szCs w:val="22"/>
          <w:lang w:eastAsia="pl-PL"/>
        </w:rPr>
      </w:pPr>
      <w:r>
        <w:rPr>
          <w:b/>
          <w:i/>
          <w:szCs w:val="22"/>
          <w:lang w:eastAsia="pl-PL"/>
        </w:rPr>
        <w:t xml:space="preserve">budynku </w:t>
      </w:r>
      <w:r>
        <w:rPr>
          <w:i/>
          <w:szCs w:val="22"/>
          <w:lang w:eastAsia="pl-PL"/>
        </w:rPr>
        <w:t>–</w:t>
      </w:r>
      <w:r>
        <w:rPr>
          <w:szCs w:val="22"/>
          <w:lang w:eastAsia="pl-PL"/>
        </w:rPr>
        <w:t xml:space="preserve"> należy przez to rozumieć taki obiekt budowlany, który jest trwale związany z gruntem, wydzielony z przestrzeni za pomocą przegród budowlanych oraz posiada fundamenty i dach;</w:t>
      </w:r>
    </w:p>
    <w:p>
      <w:pPr>
        <w:pStyle w:val="ListParagraph"/>
        <w:numPr>
          <w:ilvl w:val="2"/>
          <w:numId w:val="2"/>
        </w:numPr>
        <w:spacing w:lineRule="auto" w:line="276" w:before="0" w:after="240"/>
        <w:ind w:left="284" w:hanging="284"/>
        <w:rPr>
          <w:i/>
          <w:i/>
          <w:szCs w:val="22"/>
          <w:lang w:eastAsia="pl-PL"/>
        </w:rPr>
      </w:pPr>
      <w:r>
        <w:rPr>
          <w:b/>
          <w:i/>
          <w:szCs w:val="22"/>
          <w:lang w:eastAsia="pl-PL"/>
        </w:rPr>
        <w:t>tymczasowym obiekcie budowlanym</w:t>
      </w:r>
      <w:r>
        <w:rPr>
          <w:i/>
          <w:szCs w:val="22"/>
          <w:lang w:eastAsia="pl-PL"/>
        </w:rPr>
        <w:t xml:space="preserve"> </w:t>
      </w:r>
      <w:r>
        <w:rPr>
          <w:szCs w:val="22"/>
          <w:lang w:eastAsia="pl-PL"/>
        </w:rPr>
        <w:t>– należy przez to rozumieć obiekt budowlany przeznaczony do czasowego użytkowania w okresie krótszym od jego trwałości technicznej, przewidziany do przeniesienia w inne miejsce lub rozbiórki, a także obiekt budowlany nie połączony trwale z gruntem;</w:t>
      </w:r>
    </w:p>
    <w:p>
      <w:pPr>
        <w:pStyle w:val="ListParagraph"/>
        <w:numPr>
          <w:ilvl w:val="2"/>
          <w:numId w:val="2"/>
        </w:numPr>
        <w:spacing w:lineRule="auto" w:line="276" w:before="0" w:after="240"/>
        <w:ind w:left="284" w:hanging="284"/>
        <w:rPr>
          <w:i/>
          <w:i/>
          <w:szCs w:val="22"/>
          <w:lang w:eastAsia="pl-PL"/>
        </w:rPr>
      </w:pPr>
      <w:r>
        <w:rPr>
          <w:b/>
          <w:i/>
          <w:szCs w:val="22"/>
          <w:lang w:eastAsia="pl-PL"/>
        </w:rPr>
        <w:t>budowie</w:t>
      </w:r>
      <w:r>
        <w:rPr>
          <w:i/>
          <w:szCs w:val="22"/>
          <w:lang w:eastAsia="pl-PL"/>
        </w:rPr>
        <w:t xml:space="preserve"> - </w:t>
      </w:r>
      <w:r>
        <w:rPr>
          <w:szCs w:val="22"/>
          <w:lang w:eastAsia="pl-PL"/>
        </w:rPr>
        <w:t xml:space="preserve"> należy przez to rozumieć wykonanie obiektu budowlanego w określonym miejscu, a także odbudowę, rozbudowę, nadbudowę obiektu budowlanego;</w:t>
      </w:r>
    </w:p>
    <w:p>
      <w:pPr>
        <w:pStyle w:val="ListParagraph"/>
        <w:numPr>
          <w:ilvl w:val="2"/>
          <w:numId w:val="2"/>
        </w:numPr>
        <w:spacing w:lineRule="auto" w:line="276" w:before="0" w:after="240"/>
        <w:ind w:left="284" w:hanging="284"/>
        <w:rPr>
          <w:i/>
          <w:i/>
          <w:szCs w:val="22"/>
          <w:lang w:eastAsia="pl-PL"/>
        </w:rPr>
      </w:pPr>
      <w:r>
        <w:rPr>
          <w:b/>
          <w:i/>
          <w:szCs w:val="22"/>
          <w:lang w:eastAsia="pl-PL"/>
        </w:rPr>
        <w:t>robotach budowlanych</w:t>
      </w:r>
      <w:r>
        <w:rPr>
          <w:szCs w:val="22"/>
          <w:lang w:eastAsia="pl-PL"/>
        </w:rPr>
        <w:t xml:space="preserve"> – należy przez to rozumieć budowę, a także prace polegające na przebudowie, montażu, remoncie lub rozbiórce obiektu budowlanego;</w:t>
      </w:r>
    </w:p>
    <w:p>
      <w:pPr>
        <w:pStyle w:val="ListParagraph"/>
        <w:numPr>
          <w:ilvl w:val="2"/>
          <w:numId w:val="2"/>
        </w:numPr>
        <w:spacing w:lineRule="auto" w:line="276" w:before="0" w:after="240"/>
        <w:ind w:left="284" w:hanging="284"/>
        <w:rPr>
          <w:i/>
          <w:i/>
          <w:szCs w:val="22"/>
          <w:lang w:eastAsia="pl-PL"/>
        </w:rPr>
      </w:pPr>
      <w:r>
        <w:rPr>
          <w:b/>
          <w:i/>
          <w:szCs w:val="22"/>
          <w:lang w:eastAsia="pl-PL"/>
        </w:rPr>
        <w:t>remoncie</w:t>
      </w:r>
      <w:r>
        <w:rPr>
          <w:i/>
          <w:szCs w:val="22"/>
          <w:lang w:eastAsia="pl-PL"/>
        </w:rPr>
        <w:t xml:space="preserve"> </w:t>
        <w:softHyphen/>
        <w:t xml:space="preserve">– </w:t>
      </w:r>
      <w:r>
        <w:rPr>
          <w:szCs w:val="22"/>
          <w:lang w:eastAsia="pl-PL"/>
        </w:rPr>
        <w:t>należy przez to rozumieć wykonywanie w istniejącym obiekcie budowlanym robót budowlanych polegających na odtworzeniu stanu pierwotnego, a nie stanowiących bieżącej konserwacji;</w:t>
      </w:r>
    </w:p>
    <w:p>
      <w:pPr>
        <w:pStyle w:val="ListParagraph"/>
        <w:numPr>
          <w:ilvl w:val="2"/>
          <w:numId w:val="2"/>
        </w:numPr>
        <w:spacing w:lineRule="auto" w:line="276" w:before="0" w:after="240"/>
        <w:ind w:left="284" w:hanging="284"/>
        <w:rPr>
          <w:i/>
          <w:i/>
          <w:szCs w:val="22"/>
          <w:lang w:eastAsia="pl-PL"/>
        </w:rPr>
      </w:pPr>
      <w:r>
        <w:rPr>
          <w:b/>
          <w:i/>
          <w:szCs w:val="22"/>
          <w:lang w:eastAsia="pl-PL"/>
        </w:rPr>
        <w:t>terenie budowy</w:t>
      </w:r>
      <w:r>
        <w:rPr>
          <w:i/>
          <w:szCs w:val="22"/>
          <w:lang w:eastAsia="pl-PL"/>
        </w:rPr>
        <w:t xml:space="preserve"> </w:t>
      </w:r>
      <w:r>
        <w:rPr>
          <w:szCs w:val="22"/>
          <w:lang w:eastAsia="pl-PL"/>
        </w:rPr>
        <w:t>– należy przez to rozumieć przestrzeń, w której prowadzone są roboty budowlane wraz z przestrzenią zajmowaną przez urządzenia zaplecza budowy;</w:t>
      </w:r>
    </w:p>
    <w:p>
      <w:pPr>
        <w:pStyle w:val="ListParagraph"/>
        <w:numPr>
          <w:ilvl w:val="2"/>
          <w:numId w:val="2"/>
        </w:numPr>
        <w:spacing w:lineRule="auto" w:line="276" w:before="0" w:after="240"/>
        <w:ind w:left="284" w:hanging="284"/>
        <w:rPr>
          <w:i/>
          <w:i/>
          <w:szCs w:val="22"/>
          <w:lang w:eastAsia="pl-PL"/>
        </w:rPr>
      </w:pPr>
      <w:r>
        <w:rPr>
          <w:b/>
          <w:i/>
          <w:szCs w:val="22"/>
          <w:lang w:eastAsia="pl-PL"/>
        </w:rPr>
        <w:t>certyfikacie zgodności</w:t>
      </w:r>
      <w:r>
        <w:rPr>
          <w:i/>
          <w:szCs w:val="22"/>
          <w:lang w:eastAsia="pl-PL"/>
        </w:rPr>
        <w:t xml:space="preserve"> </w:t>
        <w:softHyphen/>
        <w:softHyphen/>
      </w:r>
      <w:r>
        <w:rPr>
          <w:szCs w:val="22"/>
          <w:lang w:eastAsia="pl-PL"/>
        </w:rPr>
        <w:t>– należy przez to rozumieć dokument wydany przez notyfikowaną jednostkę certyfikującą, potwierdzający, że wyrób i proces jego wytwarzania są zgodne ze zharmonizowaną specyfikacją techniczną;</w:t>
      </w:r>
    </w:p>
    <w:p>
      <w:pPr>
        <w:pStyle w:val="ListParagraph"/>
        <w:numPr>
          <w:ilvl w:val="2"/>
          <w:numId w:val="2"/>
        </w:numPr>
        <w:spacing w:lineRule="auto" w:line="276" w:before="0" w:after="240"/>
        <w:ind w:left="284" w:hanging="284"/>
        <w:rPr>
          <w:i/>
          <w:i/>
          <w:szCs w:val="22"/>
          <w:lang w:eastAsia="pl-PL"/>
        </w:rPr>
      </w:pPr>
      <w:r>
        <w:rPr>
          <w:b/>
          <w:i/>
          <w:szCs w:val="22"/>
          <w:lang w:eastAsia="pl-PL"/>
        </w:rPr>
        <w:t>deklaracji zgodności</w:t>
      </w:r>
      <w:r>
        <w:rPr>
          <w:i/>
          <w:szCs w:val="22"/>
          <w:lang w:eastAsia="pl-PL"/>
        </w:rPr>
        <w:t xml:space="preserve"> </w:t>
      </w:r>
      <w:r>
        <w:rPr>
          <w:szCs w:val="22"/>
          <w:lang w:eastAsia="pl-PL"/>
        </w:rPr>
        <w:t>– należy przez to rozumieć oświadczenie producenta lub jego upoważnionego przedstawiciela, stwierdzające na jego wyłączną odpowiedzialność, że wyrób jest zgodny ze zharmonizowaną specyfikacją techniczną;</w:t>
      </w:r>
    </w:p>
    <w:p>
      <w:pPr>
        <w:pStyle w:val="ListParagraph"/>
        <w:numPr>
          <w:ilvl w:val="2"/>
          <w:numId w:val="2"/>
        </w:numPr>
        <w:spacing w:lineRule="auto" w:line="276" w:before="0" w:after="240"/>
        <w:ind w:left="284" w:hanging="284"/>
        <w:rPr>
          <w:i/>
          <w:i/>
          <w:szCs w:val="22"/>
          <w:lang w:eastAsia="pl-PL"/>
        </w:rPr>
      </w:pPr>
      <w:r>
        <w:rPr>
          <w:b/>
          <w:i/>
          <w:szCs w:val="22"/>
          <w:lang w:eastAsia="pl-PL"/>
        </w:rPr>
        <w:t>dokumentacji projektowej</w:t>
      </w:r>
      <w:r>
        <w:rPr>
          <w:i/>
          <w:szCs w:val="22"/>
          <w:lang w:eastAsia="pl-PL"/>
        </w:rPr>
        <w:t xml:space="preserve"> – </w:t>
      </w:r>
      <w:r>
        <w:rPr>
          <w:szCs w:val="22"/>
          <w:lang w:eastAsia="pl-PL"/>
        </w:rPr>
        <w:t>należy przez to rozumieć dokumentację służącą do opisu przedmiotu zamówienia na wykonanie robót budowlanych, dla których jest wymagane pozwolenie na budowę – składa się w szczególności z: projektu budowlanego, projektów technicznych, przedmiaru robót i informacji dotyczącej bezpieczeństwa i ochrony zdrowia;</w:t>
      </w:r>
    </w:p>
    <w:p>
      <w:pPr>
        <w:pStyle w:val="ListParagraph"/>
        <w:numPr>
          <w:ilvl w:val="2"/>
          <w:numId w:val="2"/>
        </w:numPr>
        <w:spacing w:lineRule="auto" w:line="276" w:before="0" w:after="240"/>
        <w:ind w:left="284" w:hanging="284"/>
        <w:rPr>
          <w:i/>
          <w:i/>
          <w:szCs w:val="22"/>
          <w:lang w:eastAsia="pl-PL"/>
        </w:rPr>
      </w:pPr>
      <w:r>
        <w:rPr>
          <w:b/>
          <w:i/>
          <w:szCs w:val="22"/>
          <w:lang w:eastAsia="pl-PL"/>
        </w:rPr>
        <w:t>dokumentacji powykonawczej budowy</w:t>
      </w:r>
      <w:r>
        <w:rPr>
          <w:i/>
          <w:szCs w:val="22"/>
          <w:lang w:eastAsia="pl-PL"/>
        </w:rPr>
        <w:t xml:space="preserve"> </w:t>
      </w:r>
      <w:r>
        <w:rPr>
          <w:szCs w:val="22"/>
          <w:lang w:eastAsia="pl-PL"/>
        </w:rPr>
        <w:t>– należy przez to rozumieć składającą się z dokumentacji z naniesionymi zmianami w projekcie budowlanym i technicznym, dokonanymi w trakcie wykonywania robót, a także geodezyjnej dokumentacji powykonawczej i innych dokumentów;</w:t>
      </w:r>
    </w:p>
    <w:p>
      <w:pPr>
        <w:pStyle w:val="ListParagraph"/>
        <w:numPr>
          <w:ilvl w:val="2"/>
          <w:numId w:val="2"/>
        </w:numPr>
        <w:spacing w:lineRule="auto" w:line="276" w:before="0" w:after="240"/>
        <w:ind w:left="284" w:hanging="284"/>
        <w:rPr>
          <w:i/>
          <w:i/>
          <w:szCs w:val="22"/>
          <w:lang w:eastAsia="pl-PL"/>
        </w:rPr>
      </w:pPr>
      <w:r>
        <w:rPr>
          <w:b/>
          <w:i/>
          <w:szCs w:val="22"/>
          <w:lang w:eastAsia="pl-PL"/>
        </w:rPr>
        <w:t>aprobacie technicznej</w:t>
      </w:r>
      <w:r>
        <w:rPr>
          <w:i/>
          <w:szCs w:val="22"/>
          <w:lang w:eastAsia="pl-PL"/>
        </w:rPr>
        <w:t xml:space="preserve"> – </w:t>
      </w:r>
      <w:r>
        <w:rPr>
          <w:szCs w:val="22"/>
          <w:lang w:eastAsia="pl-PL"/>
        </w:rPr>
        <w:t>należy przez to rozumieć pozytywną ocenę techniczną wyrobu, stwierdzającą jego przydatność do stosowania w budownictwie;</w:t>
      </w:r>
    </w:p>
    <w:p>
      <w:pPr>
        <w:pStyle w:val="ListParagraph"/>
        <w:numPr>
          <w:ilvl w:val="2"/>
          <w:numId w:val="2"/>
        </w:numPr>
        <w:spacing w:lineRule="auto" w:line="276" w:before="0" w:after="240"/>
        <w:ind w:left="284" w:hanging="284"/>
        <w:rPr>
          <w:i/>
          <w:i/>
          <w:szCs w:val="22"/>
          <w:lang w:eastAsia="pl-PL"/>
        </w:rPr>
      </w:pPr>
      <w:r>
        <w:rPr>
          <w:b/>
          <w:i/>
          <w:szCs w:val="22"/>
          <w:lang w:eastAsia="pl-PL"/>
        </w:rPr>
        <w:t>wyrobie budowlanym</w:t>
      </w:r>
      <w:r>
        <w:rPr>
          <w:i/>
          <w:szCs w:val="22"/>
          <w:lang w:eastAsia="pl-PL"/>
        </w:rPr>
        <w:t xml:space="preserve"> – </w:t>
      </w:r>
      <w:r>
        <w:rPr>
          <w:szCs w:val="22"/>
          <w:lang w:eastAsia="pl-PL"/>
        </w:rPr>
        <w:t>należy przez to rozumieć wyrób w rozumieniu przepisów o ocenie zgodności, wytworzony w celu wbudowania, wmontowania, zainstalowania lub zastosowania w sposób trwały w obiekcie budowlanym, wprowadzany do obrotu jako wyrób pojedynczy lub jako zestaw wyrobów do stosowania we wzajemnym połączeniu stanowiącym integralną całość użytkową;</w:t>
      </w:r>
    </w:p>
    <w:p>
      <w:pPr>
        <w:pStyle w:val="ListParagraph"/>
        <w:numPr>
          <w:ilvl w:val="2"/>
          <w:numId w:val="2"/>
        </w:numPr>
        <w:spacing w:lineRule="auto" w:line="276" w:before="0" w:after="240"/>
        <w:ind w:left="284" w:hanging="284"/>
        <w:rPr>
          <w:i/>
          <w:i/>
          <w:szCs w:val="22"/>
          <w:lang w:eastAsia="pl-PL"/>
        </w:rPr>
      </w:pPr>
      <w:r>
        <w:rPr>
          <w:i/>
          <w:szCs w:val="22"/>
          <w:lang w:eastAsia="pl-PL"/>
        </w:rPr>
        <w:t xml:space="preserve"> </w:t>
      </w:r>
      <w:r>
        <w:rPr>
          <w:b/>
          <w:i/>
          <w:szCs w:val="22"/>
          <w:lang w:eastAsia="pl-PL"/>
        </w:rPr>
        <w:t>dziennik budowy</w:t>
      </w:r>
      <w:r>
        <w:rPr>
          <w:szCs w:val="22"/>
          <w:lang w:eastAsia="pl-PL"/>
        </w:rPr>
        <w:t xml:space="preserve"> – należy przez to rozumieć dziennik wydany i przez właściwy organ zgodnie z obowiązującymi przepisami, stanowiący urzędowy dokument przebiegu robót budowlanych oraz zdarzeń i okoliczności zachodzących w czasie wykonywania robót;</w:t>
      </w:r>
    </w:p>
    <w:p>
      <w:pPr>
        <w:pStyle w:val="ListParagraph"/>
        <w:numPr>
          <w:ilvl w:val="2"/>
          <w:numId w:val="2"/>
        </w:numPr>
        <w:spacing w:lineRule="auto" w:line="276" w:before="0" w:after="240"/>
        <w:ind w:left="284" w:hanging="284"/>
        <w:rPr>
          <w:i/>
          <w:i/>
          <w:szCs w:val="22"/>
          <w:lang w:eastAsia="pl-PL"/>
        </w:rPr>
      </w:pPr>
      <w:r>
        <w:rPr>
          <w:b/>
          <w:i/>
          <w:szCs w:val="22"/>
          <w:lang w:eastAsia="pl-PL"/>
        </w:rPr>
        <w:t>inspektorze nadzoru budowlanego</w:t>
      </w:r>
      <w:r>
        <w:rPr>
          <w:i/>
          <w:szCs w:val="22"/>
          <w:lang w:eastAsia="pl-PL"/>
        </w:rPr>
        <w:t xml:space="preserve"> </w:t>
      </w:r>
      <w:r>
        <w:rPr>
          <w:szCs w:val="22"/>
          <w:lang w:eastAsia="pl-PL"/>
        </w:rPr>
        <w:t>– należy przez to rozumieć osobę posiadającą odpowiednie wykształcenie techniczne i praktykę zawodową oraz uprawnienia budowlane, wykonującą samodzielne funkcje techniczne w budownictwie, której inwestor powierza nadzór budowie i wykonuje bieżącą kontrolę jakości i ilości wykonanych robót, bierze udział w sprawdzianach i odbiorach robót zakrywanych i zanikających, badaniu i odbiorze instalacji oraz urządzeń technicznych, jak również przy odbiorze gotowego obiektu;</w:t>
      </w:r>
    </w:p>
    <w:p>
      <w:pPr>
        <w:pStyle w:val="ListParagraph"/>
        <w:numPr>
          <w:ilvl w:val="2"/>
          <w:numId w:val="2"/>
        </w:numPr>
        <w:spacing w:lineRule="auto" w:line="276" w:before="0" w:after="240"/>
        <w:ind w:left="284" w:hanging="284"/>
        <w:rPr>
          <w:i/>
          <w:i/>
          <w:szCs w:val="22"/>
          <w:lang w:eastAsia="pl-PL"/>
        </w:rPr>
      </w:pPr>
      <w:r>
        <w:rPr>
          <w:b/>
          <w:i/>
          <w:szCs w:val="22"/>
          <w:lang w:eastAsia="pl-PL"/>
        </w:rPr>
        <w:t>kierowniku budowy</w:t>
      </w:r>
      <w:r>
        <w:rPr>
          <w:szCs w:val="22"/>
          <w:lang w:eastAsia="pl-PL"/>
        </w:rPr>
        <w:t xml:space="preserve"> – należy przez to rozumieć osobę wyznaczona przez Wykonawcę robót, upoważnioną do kierowania robotami i do występowania w jego imieniu w sprawach realizacji kontraktu, ponoszącą ustawową odpowiedzialność za prowadzoną budowę;</w:t>
      </w:r>
    </w:p>
    <w:p>
      <w:pPr>
        <w:pStyle w:val="ListParagraph"/>
        <w:numPr>
          <w:ilvl w:val="2"/>
          <w:numId w:val="2"/>
        </w:numPr>
        <w:spacing w:lineRule="auto" w:line="276" w:before="0" w:after="240"/>
        <w:ind w:left="284" w:hanging="284"/>
        <w:rPr>
          <w:i/>
          <w:i/>
          <w:szCs w:val="22"/>
          <w:lang w:eastAsia="pl-PL"/>
        </w:rPr>
      </w:pPr>
      <w:r>
        <w:rPr>
          <w:b/>
          <w:i/>
          <w:szCs w:val="22"/>
          <w:lang w:eastAsia="pl-PL"/>
        </w:rPr>
        <w:t>rejestrze obmiarów (książce obmiarów)</w:t>
      </w:r>
      <w:r>
        <w:rPr>
          <w:i/>
          <w:szCs w:val="22"/>
          <w:lang w:eastAsia="pl-PL"/>
        </w:rPr>
        <w:t xml:space="preserve"> </w:t>
        <w:softHyphen/>
      </w:r>
      <w:r>
        <w:rPr>
          <w:szCs w:val="22"/>
          <w:lang w:eastAsia="pl-PL"/>
        </w:rPr>
        <w:t>– należy przez to rozumieć – akceptowaną przez ZRU książkę z ponumerowanymi stronami, służącą do wpisywania przez Wykonawcę obmiaru dokonanych robót w formie wyliczeń, szkiców i ewentualnie dodatkowych załączników. Wpisy w rejestrze obmiarów podlegają potwierdzeniu przez ZRU</w:t>
      </w:r>
      <w:r>
        <w:rPr>
          <w:i/>
          <w:szCs w:val="22"/>
          <w:lang w:eastAsia="pl-PL"/>
        </w:rPr>
        <w:t>;</w:t>
      </w:r>
    </w:p>
    <w:p>
      <w:pPr>
        <w:pStyle w:val="ListParagraph"/>
        <w:numPr>
          <w:ilvl w:val="2"/>
          <w:numId w:val="2"/>
        </w:numPr>
        <w:spacing w:lineRule="auto" w:line="276" w:before="0" w:after="240"/>
        <w:ind w:left="284" w:hanging="284"/>
        <w:rPr>
          <w:i/>
          <w:i/>
          <w:szCs w:val="22"/>
          <w:lang w:eastAsia="pl-PL"/>
        </w:rPr>
      </w:pPr>
      <w:r>
        <w:rPr>
          <w:b/>
          <w:i/>
          <w:szCs w:val="22"/>
          <w:lang w:eastAsia="pl-PL"/>
        </w:rPr>
        <w:t>materiałach</w:t>
      </w:r>
      <w:r>
        <w:rPr>
          <w:szCs w:val="22"/>
          <w:lang w:eastAsia="pl-PL"/>
        </w:rPr>
        <w:t xml:space="preserve"> – należy przez to rozumieć wszelkie materiały naturalne i wytwarzane jak również różne tworzywa i wyroby niezbędne do wykonywania robót, zgodnie z dokumentacją projektową i specyfikacjami technicznymi zaakceptowane przez Inspektora nadzoru;</w:t>
      </w:r>
    </w:p>
    <w:p>
      <w:pPr>
        <w:pStyle w:val="ListParagraph"/>
        <w:numPr>
          <w:ilvl w:val="2"/>
          <w:numId w:val="2"/>
        </w:numPr>
        <w:spacing w:lineRule="auto" w:line="276" w:before="0" w:after="240"/>
        <w:ind w:left="284" w:hanging="284"/>
        <w:rPr>
          <w:i/>
          <w:i/>
          <w:szCs w:val="22"/>
          <w:lang w:eastAsia="pl-PL"/>
        </w:rPr>
      </w:pPr>
      <w:r>
        <w:rPr>
          <w:i/>
          <w:szCs w:val="22"/>
          <w:lang w:eastAsia="pl-PL"/>
        </w:rPr>
        <w:t xml:space="preserve"> </w:t>
      </w:r>
      <w:r>
        <w:rPr>
          <w:b/>
          <w:i/>
          <w:szCs w:val="22"/>
          <w:lang w:eastAsia="pl-PL"/>
        </w:rPr>
        <w:t>odpowiedniej zgodności</w:t>
      </w:r>
      <w:r>
        <w:rPr>
          <w:i/>
          <w:szCs w:val="22"/>
          <w:lang w:eastAsia="pl-PL"/>
        </w:rPr>
        <w:t xml:space="preserve"> </w:t>
      </w:r>
      <w:r>
        <w:rPr>
          <w:szCs w:val="22"/>
          <w:lang w:eastAsia="pl-PL"/>
        </w:rPr>
        <w:t>– należy przez to rozumieć zgodność wykonanych robót dopuszczalnymi tolerancjami, a jeśli granice tolerancji nie zostały określone – z przeciętnymi tolerancjami przyjmowanymi zwyczajowo dla danego rodzaju robót budowlanych.</w:t>
      </w:r>
    </w:p>
    <w:p>
      <w:pPr>
        <w:pStyle w:val="ListParagraph"/>
        <w:numPr>
          <w:ilvl w:val="2"/>
          <w:numId w:val="2"/>
        </w:numPr>
        <w:spacing w:lineRule="auto" w:line="276" w:before="0" w:after="240"/>
        <w:ind w:left="284" w:hanging="284"/>
        <w:rPr>
          <w:i/>
          <w:i/>
          <w:szCs w:val="22"/>
          <w:lang w:eastAsia="pl-PL"/>
        </w:rPr>
      </w:pPr>
      <w:r>
        <w:rPr>
          <w:b/>
          <w:i/>
          <w:szCs w:val="22"/>
          <w:lang w:eastAsia="pl-PL"/>
        </w:rPr>
        <w:t>obmiarze robót</w:t>
      </w:r>
      <w:r>
        <w:rPr>
          <w:i/>
          <w:szCs w:val="22"/>
          <w:lang w:eastAsia="pl-PL"/>
        </w:rPr>
        <w:t xml:space="preserve"> – </w:t>
      </w:r>
      <w:r>
        <w:rPr>
          <w:szCs w:val="22"/>
          <w:lang w:eastAsia="pl-PL"/>
        </w:rPr>
        <w:t>należy przez to rozumieć pomiar wykonanych robót budowlanych dokonany w celu weryfikacji ich ilości w przypadku zmiany parametrów przyjętych w przedmiarze robót, albo obliczenia wartości robót dodatkowych, nieobjętych przedmiarem;</w:t>
      </w:r>
    </w:p>
    <w:p>
      <w:pPr>
        <w:pStyle w:val="ListParagraph"/>
        <w:numPr>
          <w:ilvl w:val="2"/>
          <w:numId w:val="2"/>
        </w:numPr>
        <w:spacing w:lineRule="auto" w:line="276" w:before="0" w:after="240"/>
        <w:ind w:left="284" w:hanging="284"/>
        <w:rPr>
          <w:i/>
          <w:i/>
          <w:szCs w:val="22"/>
          <w:lang w:eastAsia="pl-PL"/>
        </w:rPr>
      </w:pPr>
      <w:r>
        <w:rPr>
          <w:b/>
          <w:i/>
          <w:szCs w:val="22"/>
          <w:lang w:eastAsia="pl-PL"/>
        </w:rPr>
        <w:t>odbiorze częściowym (robót budowlanych)</w:t>
      </w:r>
      <w:r>
        <w:rPr>
          <w:i/>
          <w:szCs w:val="22"/>
          <w:lang w:eastAsia="pl-PL"/>
        </w:rPr>
        <w:t xml:space="preserve"> – </w:t>
      </w:r>
      <w:r>
        <w:rPr>
          <w:szCs w:val="22"/>
          <w:lang w:eastAsia="pl-PL"/>
        </w:rPr>
        <w:t>należy przez to rozumieć nieformalną nazwę odbioru robót ulegających zakryciu i zanikających, a także dokonywanie prób i sprawdzeń instalacji, urządzeń technicznych i przewodów kominowych. Odbiorem częściowym nazywa się także odbiór części obiektu budowlanego wykonanego w stanie nadającym się do użytkowania, przed zgłoszeniem do odbioru całego obiektu budowlanego, który jest traktowany jako „odbiór końcowy”;</w:t>
      </w:r>
    </w:p>
    <w:p>
      <w:pPr>
        <w:pStyle w:val="ListParagraph"/>
        <w:numPr>
          <w:ilvl w:val="2"/>
          <w:numId w:val="2"/>
        </w:numPr>
        <w:spacing w:lineRule="auto" w:line="276" w:before="0" w:after="240"/>
        <w:ind w:left="284" w:hanging="284"/>
        <w:rPr>
          <w:i/>
          <w:i/>
          <w:szCs w:val="22"/>
          <w:lang w:eastAsia="pl-PL"/>
        </w:rPr>
      </w:pPr>
      <w:r>
        <w:rPr>
          <w:b/>
          <w:i/>
          <w:szCs w:val="22"/>
          <w:lang w:eastAsia="pl-PL"/>
        </w:rPr>
        <w:t>odbiorze gotowego obiektu budowlanego</w:t>
      </w:r>
      <w:r>
        <w:rPr>
          <w:i/>
          <w:szCs w:val="22"/>
          <w:lang w:eastAsia="pl-PL"/>
        </w:rPr>
        <w:t xml:space="preserve"> – </w:t>
      </w:r>
      <w:r>
        <w:rPr>
          <w:szCs w:val="22"/>
          <w:lang w:eastAsia="pl-PL"/>
        </w:rPr>
        <w:t>należy przez to rozumieć formalną nazwę czynności, zwanych też „odbiorem końcowym”, polegającym na protokolarnym przyjęciu (odbiorze) od wykonawcy gotowego obiektu budowlanego przez osobę lub grupę osób o odpowiednich kwalifikacjach zawodowych, wyznaczoną przez inwestora – zamawiającego, ale nie będąca inspektorem nadzoru inwestorskiego na tej budowie. Odbioru dokonuje się po zgłoszeniu przez kierownika budowy faktu zakończenia robót budowlanych, łącznie z zagospodarowaniem i uporządkowaniem terenu budowy i ewentualnie terenów przyległych wykorzystywanych jako plac budowy, oraz przygotowaniu przez niego dokumentacji powykonawczej;</w:t>
      </w:r>
    </w:p>
    <w:p>
      <w:pPr>
        <w:pStyle w:val="ListParagraph"/>
        <w:numPr>
          <w:ilvl w:val="2"/>
          <w:numId w:val="2"/>
        </w:numPr>
        <w:spacing w:lineRule="auto" w:line="276" w:before="0" w:after="240"/>
        <w:ind w:left="284" w:hanging="284"/>
        <w:jc w:val="left"/>
        <w:rPr>
          <w:i/>
          <w:i/>
          <w:szCs w:val="22"/>
          <w:lang w:eastAsia="pl-PL"/>
        </w:rPr>
      </w:pPr>
      <w:r>
        <w:rPr>
          <w:b/>
          <w:i/>
          <w:szCs w:val="22"/>
          <w:lang w:eastAsia="pl-PL"/>
        </w:rPr>
        <w:t>projektancie</w:t>
      </w:r>
      <w:r>
        <w:rPr>
          <w:i/>
          <w:szCs w:val="22"/>
          <w:lang w:eastAsia="pl-PL"/>
        </w:rPr>
        <w:t xml:space="preserve"> –</w:t>
      </w:r>
      <w:r>
        <w:rPr>
          <w:szCs w:val="22"/>
          <w:lang w:eastAsia="pl-PL"/>
        </w:rPr>
        <w:t xml:space="preserve"> należy przez to rozumieć uprawnioną osobę prawną lub fizyczną będącą autorem dokumentacji projektowej;</w:t>
      </w:r>
    </w:p>
    <w:p>
      <w:pPr>
        <w:pStyle w:val="ListParagraph"/>
        <w:numPr>
          <w:ilvl w:val="2"/>
          <w:numId w:val="2"/>
        </w:numPr>
        <w:spacing w:lineRule="auto" w:line="276" w:before="0" w:after="240"/>
        <w:ind w:left="284" w:hanging="284"/>
        <w:rPr>
          <w:i/>
          <w:i/>
          <w:szCs w:val="22"/>
          <w:lang w:eastAsia="pl-PL"/>
        </w:rPr>
      </w:pPr>
      <w:r>
        <w:rPr>
          <w:b/>
          <w:i/>
          <w:szCs w:val="22"/>
          <w:lang w:eastAsia="pl-PL"/>
        </w:rPr>
        <w:t>przedmiarze robót</w:t>
      </w:r>
      <w:r>
        <w:rPr>
          <w:i/>
          <w:szCs w:val="22"/>
          <w:lang w:eastAsia="pl-PL"/>
        </w:rPr>
        <w:t xml:space="preserve"> –</w:t>
      </w:r>
      <w:r>
        <w:rPr>
          <w:szCs w:val="22"/>
          <w:lang w:eastAsia="pl-PL"/>
        </w:rPr>
        <w:t xml:space="preserve"> należy przez to rozumieć zestawienie przewidzianych do wykonania robót podstawowych w kolejności technologicznej ich wykonania ze szczegółowym opisem lub wskazaniem podstaw ustalających szczegółowy opis, oraz wskazanie szczegółowych </w:t>
      </w:r>
      <w:r>
        <w:rPr>
          <w:i/>
          <w:szCs w:val="22"/>
          <w:lang w:eastAsia="pl-PL"/>
        </w:rPr>
        <w:t xml:space="preserve">specyfikacji technicznych wykonania i odbioru robót budowlanych, </w:t>
      </w:r>
      <w:r>
        <w:rPr>
          <w:szCs w:val="22"/>
          <w:lang w:eastAsia="pl-PL"/>
        </w:rPr>
        <w:t>z wyliczeniem i zestawieniem jednostek przedmiarowych robót podstawowych;</w:t>
      </w:r>
    </w:p>
    <w:p>
      <w:pPr>
        <w:pStyle w:val="ListParagraph"/>
        <w:numPr>
          <w:ilvl w:val="2"/>
          <w:numId w:val="2"/>
        </w:numPr>
        <w:spacing w:lineRule="auto" w:line="276" w:before="0" w:after="240"/>
        <w:ind w:left="284" w:hanging="284"/>
        <w:rPr>
          <w:i/>
          <w:i/>
          <w:szCs w:val="22"/>
          <w:lang w:eastAsia="pl-PL"/>
        </w:rPr>
      </w:pPr>
      <w:r>
        <w:rPr>
          <w:b/>
          <w:i/>
          <w:szCs w:val="22"/>
          <w:lang w:eastAsia="pl-PL"/>
        </w:rPr>
        <w:t>robotach podstawowych</w:t>
      </w:r>
      <w:r>
        <w:rPr>
          <w:i/>
          <w:szCs w:val="22"/>
          <w:lang w:eastAsia="pl-PL"/>
        </w:rPr>
        <w:t xml:space="preserve"> - </w:t>
      </w:r>
      <w:r>
        <w:rPr>
          <w:szCs w:val="22"/>
          <w:lang w:eastAsia="pl-PL"/>
        </w:rPr>
        <w:t xml:space="preserve"> należy przez to rozumieć minimalny zakres prac, które po wykonaniu są możliwe do odebrania pod względem ilości i wymogów jakościowych oraz uwzględniają przyjęty stopień scalania robót;</w:t>
      </w:r>
    </w:p>
    <w:p>
      <w:pPr>
        <w:pStyle w:val="ListParagraph"/>
        <w:numPr>
          <w:ilvl w:val="2"/>
          <w:numId w:val="2"/>
        </w:numPr>
        <w:spacing w:lineRule="auto" w:line="276" w:before="0" w:after="240"/>
        <w:ind w:left="284" w:hanging="284"/>
        <w:rPr>
          <w:i/>
          <w:i/>
          <w:szCs w:val="22"/>
          <w:lang w:eastAsia="pl-PL"/>
        </w:rPr>
      </w:pPr>
      <w:r>
        <w:rPr>
          <w:b/>
          <w:i/>
          <w:szCs w:val="22"/>
          <w:lang w:eastAsia="pl-PL"/>
        </w:rPr>
        <w:t>wspólnym słowniku zamówień</w:t>
      </w:r>
      <w:r>
        <w:rPr>
          <w:i/>
          <w:szCs w:val="22"/>
          <w:lang w:eastAsia="pl-PL"/>
        </w:rPr>
        <w:t xml:space="preserve"> –</w:t>
      </w:r>
      <w:r>
        <w:rPr>
          <w:szCs w:val="22"/>
          <w:lang w:eastAsia="pl-PL"/>
        </w:rPr>
        <w:t xml:space="preserve"> należy przez to rozumieć system klasyfikacji produktów, usług i robót budowlanych, stworzonym na potrzeby zamówień publicznych. Składa się ze słownika głównego oraz słownika uzupełniającego. Obowiązuje we wszystkich krajach UE. Zgodnie z postanowieniami Rozporządzenia 2151/2003, stosowanie kodów CPV do określenia przedmiotu zamówienia przez zamawiającego z ówczesnych Państw Członkowskich UE stało się obowiązkowe z dniem 20 grudnia 2003r. Polskie prawo zamówień publicznych przewidziało obowiązek stosowania klasyfikacji CPV począwszy od dnia akcesji Polski do UE, tzn. od 1 maja 2004r.</w:t>
      </w:r>
    </w:p>
    <w:p>
      <w:pPr>
        <w:pStyle w:val="ListParagraph"/>
        <w:numPr>
          <w:ilvl w:val="2"/>
          <w:numId w:val="2"/>
        </w:numPr>
        <w:spacing w:lineRule="auto" w:line="276" w:before="0" w:after="240"/>
        <w:ind w:left="284" w:hanging="284"/>
        <w:rPr>
          <w:i/>
          <w:i/>
          <w:szCs w:val="22"/>
          <w:lang w:eastAsia="pl-PL"/>
        </w:rPr>
      </w:pPr>
      <w:r>
        <w:rPr>
          <w:b/>
          <w:i/>
          <w:szCs w:val="22"/>
          <w:lang w:eastAsia="pl-PL"/>
        </w:rPr>
        <w:t>zarządzającym realizacją umowy</w:t>
      </w:r>
      <w:r>
        <w:rPr>
          <w:i/>
          <w:szCs w:val="22"/>
          <w:lang w:eastAsia="pl-PL"/>
        </w:rPr>
        <w:t xml:space="preserve"> –</w:t>
      </w:r>
      <w:r>
        <w:rPr>
          <w:szCs w:val="22"/>
          <w:lang w:eastAsia="pl-PL"/>
        </w:rPr>
        <w:t xml:space="preserve"> należy przez to rozumieć osobę prawną lub fizyczną określoną w istotnych postanowieniach umowy, zwaną dalej zarządzającym, wyznaczoną przez zamawiającego, upoważnioną  do nadzorowania realizacji robót i administrowania umową</w:t>
      </w:r>
    </w:p>
    <w:p>
      <w:pPr>
        <w:pStyle w:val="ListParagraph"/>
        <w:spacing w:lineRule="auto" w:line="276" w:before="0" w:after="0"/>
        <w:ind w:left="709" w:hanging="709"/>
        <w:jc w:val="left"/>
        <w:rPr>
          <w:szCs w:val="22"/>
          <w:lang w:eastAsia="pl-PL"/>
        </w:rPr>
      </w:pPr>
      <w:r>
        <w:rPr>
          <w:b/>
          <w:szCs w:val="22"/>
          <w:lang w:eastAsia="pl-PL"/>
        </w:rPr>
        <w:t>ST</w:t>
      </w:r>
      <w:r>
        <w:rPr>
          <w:szCs w:val="22"/>
          <w:lang w:eastAsia="pl-PL"/>
        </w:rPr>
        <w:t xml:space="preserve"> – ogólna specyfikacja techniczna</w:t>
      </w:r>
    </w:p>
    <w:p>
      <w:pPr>
        <w:pStyle w:val="ListParagraph"/>
        <w:spacing w:lineRule="auto" w:line="276" w:before="0" w:after="0"/>
        <w:ind w:left="709" w:hanging="709"/>
        <w:jc w:val="left"/>
        <w:rPr>
          <w:szCs w:val="22"/>
          <w:lang w:eastAsia="pl-PL"/>
        </w:rPr>
      </w:pPr>
      <w:r>
        <w:rPr>
          <w:b/>
          <w:szCs w:val="22"/>
          <w:lang w:eastAsia="pl-PL"/>
        </w:rPr>
        <w:t>SST</w:t>
      </w:r>
      <w:r>
        <w:rPr>
          <w:szCs w:val="22"/>
          <w:lang w:eastAsia="pl-PL"/>
        </w:rPr>
        <w:t xml:space="preserve"> – szczegółowa specyfikacja techniczna</w:t>
      </w:r>
    </w:p>
    <w:p>
      <w:pPr>
        <w:pStyle w:val="ListParagraph"/>
        <w:spacing w:lineRule="auto" w:line="276" w:before="0" w:after="240"/>
        <w:ind w:left="709" w:hanging="709"/>
        <w:jc w:val="left"/>
        <w:rPr>
          <w:szCs w:val="22"/>
          <w:lang w:eastAsia="pl-PL"/>
        </w:rPr>
      </w:pPr>
      <w:r>
        <w:rPr>
          <w:b/>
          <w:szCs w:val="22"/>
          <w:lang w:eastAsia="pl-PL"/>
        </w:rPr>
        <w:t>ZRU</w:t>
      </w:r>
      <w:r>
        <w:rPr>
          <w:szCs w:val="22"/>
          <w:lang w:eastAsia="pl-PL"/>
        </w:rPr>
        <w:t xml:space="preserve"> – zarządzający realizacją umowy</w:t>
      </w:r>
    </w:p>
    <w:p>
      <w:pPr>
        <w:pStyle w:val="Akapit"/>
        <w:numPr>
          <w:ilvl w:val="0"/>
          <w:numId w:val="2"/>
        </w:numPr>
        <w:spacing w:lineRule="auto" w:line="276" w:before="0" w:after="240"/>
        <w:ind w:left="284" w:hanging="284"/>
        <w:rPr>
          <w:szCs w:val="22"/>
          <w:lang w:eastAsia="pl-PL"/>
        </w:rPr>
      </w:pPr>
      <w:bookmarkStart w:id="10" w:name="_Toc145681955"/>
      <w:r>
        <w:rPr>
          <w:szCs w:val="22"/>
          <w:lang w:eastAsia="pl-PL"/>
        </w:rPr>
        <w:t>PROWADZENIE ROBÓT</w:t>
      </w:r>
      <w:bookmarkEnd w:id="10"/>
    </w:p>
    <w:p>
      <w:pPr>
        <w:pStyle w:val="ListParagraph"/>
        <w:numPr>
          <w:ilvl w:val="1"/>
          <w:numId w:val="2"/>
        </w:numPr>
        <w:spacing w:lineRule="auto" w:line="276" w:before="0" w:after="0"/>
        <w:ind w:left="426" w:hanging="426"/>
        <w:rPr>
          <w:b/>
          <w:b/>
          <w:szCs w:val="22"/>
          <w:lang w:eastAsia="pl-PL"/>
        </w:rPr>
      </w:pPr>
      <w:r>
        <w:rPr>
          <w:b/>
          <w:szCs w:val="22"/>
          <w:lang w:eastAsia="pl-PL"/>
        </w:rPr>
        <w:t>Ogólne zasady wykonania robót</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 xml:space="preserve">Wykonawca jest odpowiedzialny za prowadzenie robót zgodnie z umową i ścisłe przestrzeganie przedstawionego do akceptacji Zamawiającemu harmonogramu robót oraz za jakość zastosowanych materiałów i wykonywanych robót, za ich zgodność z projektem wykonawczym, wymaganiami specyfikacji technicznych i programu zapewnienia jakości, projektu organizacji robót oraz poleceniami zarządzającego realizacją umowy (ZRU). </w:t>
      </w:r>
    </w:p>
    <w:p>
      <w:pPr>
        <w:pStyle w:val="Normal"/>
        <w:suppressAutoHyphens w:val="false"/>
        <w:spacing w:lineRule="auto" w:line="276" w:before="0" w:after="240"/>
        <w:rPr>
          <w:rFonts w:eastAsia="Times New Roman"/>
          <w:szCs w:val="22"/>
          <w:lang w:eastAsia="pl-PL"/>
        </w:rPr>
      </w:pPr>
      <w:r>
        <w:rPr>
          <w:rFonts w:eastAsia="Times New Roman"/>
          <w:color w:val="000000"/>
          <w:szCs w:val="22"/>
          <w:lang w:eastAsia="pl-PL"/>
        </w:rPr>
        <w:t xml:space="preserve">Następstwa jakiegokolwiek błędu spowodowanego przez wykonawcę w wytyczeniu i wyznaczeniu robót, zostaną poprawione przez Wykonawcę na własny koszt. Sprawdzenie wytyczenia robót lub wyznaczenia wysokości przez zarządzającego realizacją umowy nie zwalnia wykonawcy od odpowiedzialności za ich dokładność. Decyzje Zarządzającego Realizacją Umowy dotyczące akceptacji lub odrzucenia materiałów i elementów robót będą oparte na wymaganiach sformułowanych w umowie, projekcie wykonawczym i szczegółowych specyfikacjach technicznych, a także w normach i wytycznych wykonania  i odbioru robót. Przy podejmowaniu decyzji zarządzający realizacją umowy uwzględnia wyniki badań materiałów i jakości robót, dopuszczalne niedokładności normalnie występujące przy produkcji i przy badaniach materiałów, doświadczenia z przeszłości, wyniki badań naukowych oraz inne czynniki wpływające na rozważaną kwestię. Polecenia zarządzającego realizacją umowy będą wykonywane nie później niż w czasie przez niego wyznaczonym, po ich otrzymaniu przez wykonawcę, pod groźbą wstrzymania robót. Skutki finansowe z tego tytułu poniesie wykonawca. </w:t>
      </w:r>
      <w:r>
        <w:rPr>
          <w:rFonts w:eastAsia="Times New Roman"/>
          <w:szCs w:val="22"/>
          <w:lang w:eastAsia="pl-PL"/>
        </w:rPr>
        <w:t>Wykonawca zabezpieczy plac budowy przed dostępem osób trzecich. Zamawiający może zażądać prowadzenia niektórych uciążliwych robót (pod względem drgań i hałasu) w godzinach o zmniejszonej intensywności ruchu pieszego. Wykonawca powinien przewidzieć tego rodzaju utrudnienia i uwzględnić je </w:t>
      </w:r>
      <w:r>
        <w:rPr/>
        <w:t>w kosztach</w:t>
      </w:r>
      <w:r>
        <w:rPr>
          <w:rFonts w:eastAsia="Times New Roman"/>
          <w:szCs w:val="22"/>
          <w:lang w:eastAsia="pl-PL"/>
        </w:rPr>
        <w:t xml:space="preserve"> ogólnych ceny kosztorysowej.</w:t>
      </w:r>
    </w:p>
    <w:p>
      <w:pPr>
        <w:pStyle w:val="ListParagraph"/>
        <w:numPr>
          <w:ilvl w:val="1"/>
          <w:numId w:val="2"/>
        </w:numPr>
        <w:tabs>
          <w:tab w:val="clear" w:pos="720"/>
          <w:tab w:val="left" w:pos="426" w:leader="none"/>
        </w:tabs>
        <w:suppressAutoHyphens w:val="false"/>
        <w:spacing w:lineRule="auto" w:line="276" w:before="0" w:after="240"/>
        <w:ind w:left="284" w:hanging="284"/>
        <w:jc w:val="left"/>
        <w:rPr>
          <w:b/>
          <w:b/>
          <w:szCs w:val="22"/>
          <w:lang w:eastAsia="pl-PL"/>
        </w:rPr>
      </w:pPr>
      <w:r>
        <w:rPr>
          <w:b/>
          <w:szCs w:val="22"/>
          <w:lang w:eastAsia="pl-PL"/>
        </w:rPr>
        <w:t>Teren budowy</w:t>
      </w:r>
    </w:p>
    <w:p>
      <w:pPr>
        <w:pStyle w:val="ListParagraph"/>
        <w:numPr>
          <w:ilvl w:val="2"/>
          <w:numId w:val="2"/>
        </w:numPr>
        <w:suppressAutoHyphens w:val="false"/>
        <w:spacing w:lineRule="auto" w:line="276" w:before="0" w:after="0"/>
        <w:ind w:left="567" w:hanging="567"/>
        <w:jc w:val="left"/>
        <w:rPr>
          <w:b/>
          <w:b/>
          <w:szCs w:val="22"/>
          <w:lang w:eastAsia="pl-PL"/>
        </w:rPr>
      </w:pPr>
      <w:r>
        <w:rPr>
          <w:b/>
          <w:szCs w:val="22"/>
          <w:lang w:eastAsia="pl-PL"/>
        </w:rPr>
        <w:t>Charakterystyka terenu budowy</w:t>
      </w:r>
    </w:p>
    <w:p>
      <w:pPr>
        <w:pStyle w:val="Normal"/>
        <w:suppressAutoHyphens w:val="false"/>
        <w:spacing w:lineRule="auto" w:line="276" w:before="0" w:after="240"/>
        <w:jc w:val="left"/>
        <w:rPr>
          <w:szCs w:val="22"/>
          <w:lang w:eastAsia="pl-PL"/>
        </w:rPr>
      </w:pPr>
      <w:r>
        <w:rPr>
          <w:szCs w:val="22"/>
          <w:lang w:eastAsia="pl-PL"/>
        </w:rPr>
        <w:t>Granice terenu budowy wyznaczone są granicami działki, na której zlokalizowany jest obiekt.</w:t>
      </w:r>
    </w:p>
    <w:p>
      <w:pPr>
        <w:pStyle w:val="ListParagraph"/>
        <w:numPr>
          <w:ilvl w:val="2"/>
          <w:numId w:val="2"/>
        </w:numPr>
        <w:suppressAutoHyphens w:val="false"/>
        <w:spacing w:lineRule="auto" w:line="276" w:before="0" w:after="0"/>
        <w:ind w:left="567" w:hanging="567"/>
        <w:jc w:val="left"/>
        <w:rPr>
          <w:b/>
          <w:b/>
          <w:szCs w:val="22"/>
          <w:lang w:eastAsia="pl-PL"/>
        </w:rPr>
      </w:pPr>
      <w:r>
        <w:rPr>
          <w:b/>
          <w:szCs w:val="22"/>
          <w:lang w:eastAsia="pl-PL"/>
        </w:rPr>
        <w:t>Przekazanie terenu budowy</w:t>
      </w:r>
    </w:p>
    <w:p>
      <w:pPr>
        <w:pStyle w:val="Normal"/>
        <w:spacing w:lineRule="auto" w:line="276" w:before="0" w:after="0"/>
        <w:rPr>
          <w:rFonts w:eastAsia="Arial"/>
          <w:szCs w:val="22"/>
        </w:rPr>
      </w:pPr>
      <w:r>
        <w:rPr>
          <w:rFonts w:eastAsia="Arial"/>
          <w:szCs w:val="22"/>
        </w:rPr>
        <w:t>Zamawiający, w terminie określonym w dokumentach umowy, przekaże Wykonawcy protokólarnie teren budowy wraz ze wszystkimi wymaganymi uzgodnieniami prawnymi i administracyjnymi, poda lokalizację i współrzędne punktów głównych obiektu oraz reperów, przekaże dziennik budowy oraz dwa egzemplarze dokumentacji projektowej i dwa komplety SST.</w:t>
      </w:r>
    </w:p>
    <w:p>
      <w:pPr>
        <w:pStyle w:val="Normal"/>
        <w:spacing w:lineRule="auto" w:line="276"/>
        <w:rPr>
          <w:rFonts w:eastAsia="Arial"/>
          <w:szCs w:val="22"/>
        </w:rPr>
      </w:pPr>
      <w:r>
        <w:rPr>
          <w:rFonts w:eastAsia="Arial"/>
          <w:szCs w:val="22"/>
        </w:rPr>
        <w:t>Przed przekazaniem terenu budowy Wykonawca wraz z Zamawiającym winien przeprowadzić jego wizję, a także przylegających do niego obiektów lub ich części, dróg, chodników itp., na które realizacja robót może w jakikolwiek sposób oddziaływać. Wszelkie istniejące uszkodzenia i inne ważne szczegóły należy zidentyfikować, opisać i sfotografować. Opis taki wraz z dokumentacją fotograficzną winien stanowić załącznik do protokołu przekazania terenu budowy. Wszelkie uszkodzenia lub wady niezanotowane, ale zauważone podczas lub po wykonaniu robót będą naprawione na koszt Wykonawcy, przy czym należy przywrócić stan sprzed uszkodzenia lub lepszy.</w:t>
      </w:r>
    </w:p>
    <w:p>
      <w:pPr>
        <w:pStyle w:val="Normal"/>
        <w:suppressAutoHyphens w:val="false"/>
        <w:spacing w:lineRule="auto" w:line="276" w:before="0" w:after="240"/>
        <w:jc w:val="left"/>
        <w:rPr>
          <w:szCs w:val="22"/>
          <w:lang w:eastAsia="pl-PL"/>
        </w:rPr>
      </w:pPr>
      <w:r>
        <w:rPr>
          <w:szCs w:val="22"/>
          <w:lang w:eastAsia="pl-PL"/>
        </w:rPr>
        <w:t>W czasie przekazania terenu zamawiający przekazuje Wykonawcy:</w:t>
      </w:r>
    </w:p>
    <w:p>
      <w:pPr>
        <w:pStyle w:val="ListParagraph"/>
        <w:numPr>
          <w:ilvl w:val="0"/>
          <w:numId w:val="8"/>
        </w:numPr>
        <w:suppressAutoHyphens w:val="false"/>
        <w:spacing w:lineRule="auto" w:line="276" w:before="0" w:after="0"/>
        <w:ind w:left="284" w:hanging="284"/>
        <w:jc w:val="left"/>
        <w:rPr>
          <w:szCs w:val="22"/>
          <w:lang w:eastAsia="pl-PL"/>
        </w:rPr>
      </w:pPr>
      <w:r>
        <w:rPr>
          <w:szCs w:val="22"/>
          <w:lang w:eastAsia="pl-PL"/>
        </w:rPr>
        <w:t>Dokumentacje techniczną określoną w p. 1.4.</w:t>
      </w:r>
    </w:p>
    <w:p>
      <w:pPr>
        <w:pStyle w:val="ListParagraph"/>
        <w:numPr>
          <w:ilvl w:val="0"/>
          <w:numId w:val="8"/>
        </w:numPr>
        <w:suppressAutoHyphens w:val="false"/>
        <w:spacing w:lineRule="auto" w:line="276" w:before="0" w:after="240"/>
        <w:ind w:left="284" w:hanging="284"/>
        <w:jc w:val="left"/>
        <w:rPr>
          <w:szCs w:val="22"/>
          <w:lang w:eastAsia="pl-PL"/>
        </w:rPr>
      </w:pPr>
      <w:r>
        <w:rPr>
          <w:szCs w:val="22"/>
          <w:lang w:eastAsia="pl-PL"/>
        </w:rPr>
        <w:t>Kopię decyzji o pozwoleniu na budowę</w:t>
      </w:r>
    </w:p>
    <w:p>
      <w:pPr>
        <w:pStyle w:val="ListParagraph"/>
        <w:numPr>
          <w:ilvl w:val="2"/>
          <w:numId w:val="2"/>
        </w:numPr>
        <w:suppressAutoHyphens w:val="false"/>
        <w:spacing w:lineRule="auto" w:line="276" w:before="0" w:after="0"/>
        <w:jc w:val="left"/>
        <w:rPr>
          <w:b/>
          <w:b/>
          <w:szCs w:val="22"/>
          <w:lang w:eastAsia="pl-PL"/>
        </w:rPr>
      </w:pPr>
      <w:r>
        <w:rPr>
          <w:b/>
          <w:szCs w:val="22"/>
          <w:lang w:eastAsia="pl-PL"/>
        </w:rPr>
        <w:t>Ochrona i utrzymanie terenu budowy</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 xml:space="preserve">Wykonawca zobowiązany jest do wykonania projektu organizacji placu budowy, który przedłoży Zamawiającemu do akceptacji wraz z harmonogramem prowadzenia robót. Wszelkie elementy tymczasowej infrastruktury związanej z realizacją obiektu Wykonawca wykona we własnym zakresie, a koszty związane z ich realizacją uwzględni w cenie jednostkowej pozycji przedmiotowych (docelowych elementów) dla których niezbędne jest wykonanie i utrzymanie tymczasowej infrastruktury. </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Wykonawca będzie odpowiedzialny za ochronę placu budowy oraz wszystkich materiałów i elementów wyposażenia użytych do realizacji robót od chwili rozpoczęcia do ostatecznego odbioru robót. Przez cały ten okres urządzenia lub ich elementy będą utrzymane w sposób satysfakcjonujący Zarządzającego Realizacją Umowy. Może on wstrzymać realizację robót, jeśli w jakimkolwiek czasie Wykonawca zaniedbuje swoje obowiązki konserwacyjne W trakcie realizacji robót Wykonawca dostarczy, zainstaluje i utrzyma wszystkie niezbędne, tymczasowe zabezpieczenia ruchu i urządzenia takie jak: bariery, sygnalizację ruchu, znaki drogowe etc. żeby zapewnić bezpieczeństwo całego ruchu kołowego i pieszego. Wszystkie znaki drogowe, bariery i inne urządzenia zabezpieczające muszą być zaakceptowane przez zarządzającego realizacją umowy.</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 xml:space="preserve">Wykonawca będzie także odpowiedzialny do czasu zakończenia robót </w:t>
        <w:br/>
        <w:t xml:space="preserve">za utrzymanie wszystkich reperów i innych znaków geodezyjnych istniejących </w:t>
        <w:br/>
        <w:t xml:space="preserve">na terenie budowy i w razie ich uszkodzenia lub zniszczenia do odbudowy </w:t>
        <w:br/>
        <w:t xml:space="preserve">na własny koszt. </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 xml:space="preserve">Wykonawca wydzieli ogrodzeniem plac budowy i drogi technologiczne </w:t>
        <w:br/>
        <w:t>od istniejącej przestrzeni remontowanego budynku. Koszty związane z zabezpieczeniem placu budowy przed dostępem osób trzecich Wykonawca uwzględni w cenie robót podstawowych.</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Wykonawca dla potrzeb budowy wykona tymczasowe przyłącza wody i energii elektrycznej. Koszty budowy przyłączy jak i koszty eksploatacyjne Wykonawca uwzględni w cenach jednostkowych robót podstawowych. Koszty ewentualnego poboru gazu dla potrzeb rozruchu technologicznego, odbiorów jak i ogrzewania obiektu na czas prowadzenia robót budowlanych Wykonawca uwzględni w cenie jednostkowej robót podstawowych.</w:t>
      </w:r>
    </w:p>
    <w:p>
      <w:pPr>
        <w:pStyle w:val="ListParagraph"/>
        <w:numPr>
          <w:ilvl w:val="2"/>
          <w:numId w:val="2"/>
        </w:numPr>
        <w:tabs>
          <w:tab w:val="clear" w:pos="720"/>
          <w:tab w:val="left" w:pos="426" w:leader="none"/>
        </w:tabs>
        <w:suppressAutoHyphens w:val="false"/>
        <w:spacing w:lineRule="auto" w:line="276" w:before="0" w:after="0"/>
        <w:ind w:left="426" w:hanging="426"/>
        <w:rPr>
          <w:b/>
          <w:b/>
          <w:szCs w:val="22"/>
          <w:lang w:eastAsia="pl-PL"/>
        </w:rPr>
      </w:pPr>
      <w:r>
        <w:rPr>
          <w:b/>
          <w:szCs w:val="22"/>
          <w:lang w:eastAsia="pl-PL"/>
        </w:rPr>
        <w:t>Ochrona własności i urządzeń</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jest odpowiedzialny za ochronę istniejących instalacji naziemnych i podziemnych urządzeń znajdujących się w obrębie placu budowy, takich jak rurociągi i kable etc. Przed rozpoczęciem robót wykonawca potwierdzi u odpowiednich władz, które są właścicielami instalacji i urządzeń, informacje podane na planie zagospodarowania terenu dostarczonym przez Zamawiającego. Wykonawca spowoduje żeby te instalacje i urządzenia zostały właściwie oznaczone i zabezpieczone przed uszkodzeniem w trakcie realizacji robót. W przypadku, gdy wystąpi konieczność przeniesienia instalacji i urządzeń podziemnych w granicach placu budowy, Wykonawca ma obowiązek poinformować Zarządzającego realizacją umowy o zamiarze rozpoczęcia takiej pracy.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natychmiast poinformuje Zarządzającego Realizacją Umowy o każdym przypadkowym uszkodzeniu tych urządzeń lub instalacji i będzie współpracował przy naprawie udzielając wszelkiej możliwej pomocy, która może być potrzebna dla jej przeprowadzenia.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będzie odpowiedzialny za jakiejkolwiek szkody, spowodowane przez jego działania, w instalacjach naziemnych i podziemnym pokazanych na planie zagospodarowania terenu dostarczonym przez Zamawiającego.</w:t>
      </w:r>
    </w:p>
    <w:p>
      <w:pPr>
        <w:pStyle w:val="ListParagraph"/>
        <w:numPr>
          <w:ilvl w:val="2"/>
          <w:numId w:val="2"/>
        </w:numPr>
        <w:suppressAutoHyphens w:val="false"/>
        <w:spacing w:lineRule="auto" w:line="276" w:before="0" w:after="0"/>
        <w:ind w:left="567" w:hanging="567"/>
        <w:rPr>
          <w:b/>
          <w:b/>
          <w:szCs w:val="22"/>
          <w:lang w:eastAsia="pl-PL"/>
        </w:rPr>
      </w:pPr>
      <w:r>
        <w:rPr>
          <w:b/>
          <w:szCs w:val="22"/>
          <w:lang w:eastAsia="pl-PL"/>
        </w:rPr>
        <w:t>Ochrona środowiska w trakcie realizacji robót</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 trakcie realizacji robót wykonawca jest zobowiązany znać i stosować się do przepisów zawartych we wszystkich regulacjach prawnych w zakresie ochrony środowiska. W 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pPr>
        <w:pStyle w:val="ListParagraph"/>
        <w:numPr>
          <w:ilvl w:val="2"/>
          <w:numId w:val="2"/>
        </w:numPr>
        <w:suppressAutoHyphens w:val="false"/>
        <w:spacing w:lineRule="auto" w:line="276" w:before="0" w:after="0"/>
        <w:ind w:left="567" w:hanging="567"/>
        <w:rPr>
          <w:b/>
          <w:b/>
          <w:szCs w:val="22"/>
          <w:lang w:eastAsia="pl-PL"/>
        </w:rPr>
      </w:pPr>
      <w:r>
        <w:rPr>
          <w:b/>
          <w:szCs w:val="22"/>
          <w:lang w:eastAsia="pl-PL"/>
        </w:rPr>
        <w:t>Zapewnienie bezpieczeństwa i ochrony zdrowia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Kierownik budowy przed rozpoczęciem budowy opracuje plan bezpieczeństwa i ochrony zdrowia na budowie i będzie odpowiedzialny za jego wdrożenie i egzekwowanie.</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dostarczy na budowę i będzie utrzymywał wyposażenie konieczne dla zapewnienia bezpieczeństwa. Zapewni wyposażenia w urządzenia socjalne, oraz odpowiednie wyposażenie i odzież wymaganą dla ochrony życia i zdrowia personelu zatrudnionego na placu budowy. Uważa się, że koszty zachowania zgodności z wspomnianymi powyżej przepisami bezpieczeństwa i ochrony zdrowia są wliczone w cenę umowną.</w:t>
      </w:r>
    </w:p>
    <w:p>
      <w:pPr>
        <w:pStyle w:val="Normal"/>
        <w:suppressAutoHyphens w:val="false"/>
        <w:spacing w:lineRule="auto" w:line="276" w:before="0" w:after="240"/>
        <w:rPr>
          <w:rFonts w:eastAsia="Times New Roman"/>
          <w:szCs w:val="22"/>
          <w:lang w:eastAsia="pl-PL"/>
        </w:rPr>
      </w:pPr>
      <w:r>
        <w:rPr>
          <w:rFonts w:eastAsia="Times New Roman"/>
          <w:szCs w:val="24"/>
          <w:lang w:eastAsia="pl-PL"/>
        </w:rPr>
        <w:t>Użycie materiałów, które wpływają na trwałe zmiany środowiska, ani materiałów emitujących promieniowanie w ilościach wyższych niż zalecane w projekcie nie będzie akceptowane. Jakikolwiek materiały z odzysku lub pochodzące z recyklingu i mające być użyte do robót muszą być poświadczone przez odpowiednie urzędy i władze jako bezpieczne dla środowiska. Materiały, które są niebezpieczne tylko w czasie budowy (a po zakończeniu budowy ich charakter niebezpieczny zanika, np. materiały pylące) mogą być dozwolone, pod warunkiem, że będą spełnione wymagania techniczne dotyczące ich wbudowania. Przed użyciem takich materiałów Zamawiający musi uzyskać aprobatę od odpowiednich władz administracji państwowej, jeśli wymagają tego odpowiednie przepisy.</w:t>
      </w:r>
    </w:p>
    <w:p>
      <w:pPr>
        <w:pStyle w:val="ListParagraph"/>
        <w:numPr>
          <w:ilvl w:val="1"/>
          <w:numId w:val="2"/>
        </w:numPr>
        <w:suppressAutoHyphens w:val="false"/>
        <w:spacing w:lineRule="auto" w:line="276" w:before="0" w:after="0"/>
        <w:ind w:left="426" w:hanging="426"/>
        <w:rPr>
          <w:b/>
          <w:b/>
          <w:szCs w:val="22"/>
          <w:lang w:eastAsia="pl-PL"/>
        </w:rPr>
      </w:pPr>
      <w:r>
        <w:rPr>
          <w:b/>
          <w:szCs w:val="22"/>
          <w:lang w:eastAsia="pl-PL"/>
        </w:rPr>
        <w:t>Program zapewnienia bezpieczeństwa i ochrony zdrowia</w:t>
      </w:r>
      <w:bookmarkStart w:id="11" w:name="_Toc52805839"/>
      <w:bookmarkEnd w:id="11"/>
    </w:p>
    <w:p>
      <w:pPr>
        <w:pStyle w:val="Normal"/>
        <w:suppressAutoHyphens w:val="false"/>
        <w:spacing w:lineRule="auto" w:line="276" w:before="0" w:after="240"/>
        <w:rPr>
          <w:rFonts w:eastAsia="Times New Roman"/>
          <w:szCs w:val="22"/>
          <w:lang w:eastAsia="pl-PL"/>
        </w:rPr>
      </w:pPr>
      <w:r>
        <w:rPr>
          <w:rFonts w:eastAsia="Times New Roman"/>
          <w:szCs w:val="22"/>
          <w:lang w:eastAsia="pl-PL"/>
        </w:rPr>
        <w:t>W trakcie realizacji robót wykonawca będzie stosował się do wszystkich obowiązujących przepisów i wymagań w zakresie bezpieczeństwa i ochrony zdrowia. W tym celu, w ramach prac przygotowawczych do realizacji robót, zgodnie z wymogami ustawy - Prawo budowlane jest zobowiązany opracować i przedstawić do akceptacji zarządzającemu realizacją umowy, program zapewnienia bezpieczeństwa i ochrony zdrowia. Na jego podstawie musi zapewnić, żeby personel nie pracował w warunkach, które są niebezpieczne, szkodliwe dla zdrowia i  nie spełniają odpowiednich wymagań sanitarnych.</w:t>
      </w:r>
    </w:p>
    <w:p>
      <w:pPr>
        <w:pStyle w:val="ListParagraph"/>
        <w:numPr>
          <w:ilvl w:val="1"/>
          <w:numId w:val="2"/>
        </w:numPr>
        <w:suppressAutoHyphens w:val="false"/>
        <w:spacing w:lineRule="auto" w:line="276" w:before="0" w:after="0"/>
        <w:ind w:left="426" w:hanging="426"/>
        <w:rPr>
          <w:rFonts w:eastAsia="Times New Roman"/>
          <w:b/>
          <w:b/>
          <w:szCs w:val="22"/>
          <w:lang w:eastAsia="pl-PL"/>
        </w:rPr>
      </w:pPr>
      <w:r>
        <w:rPr>
          <w:rFonts w:eastAsia="Times New Roman"/>
          <w:b/>
          <w:szCs w:val="22"/>
          <w:lang w:eastAsia="pl-PL"/>
        </w:rPr>
        <w:t>Ochrona przeciwpożarowa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 xml:space="preserve">Wykonawca 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Materiały łatwopalne będą przechowywane zgodnie z przepisami przeciwpożarowymi, w bezpiecznej odległości od budynków i składowisk, w miejscach niedostępnych dla osób trzecich. Wykonawca będzie odpowiedzialny za wszelkie straty powstałe w wyniku pożaru, który mógłby powstać w okresie realizacji robót lub został spowodowany przez któregokolwiek z jego pracowników.</w:t>
      </w:r>
    </w:p>
    <w:p>
      <w:pPr>
        <w:pStyle w:val="ListParagraph"/>
        <w:numPr>
          <w:ilvl w:val="1"/>
          <w:numId w:val="2"/>
        </w:numPr>
        <w:suppressAutoHyphens w:val="false"/>
        <w:spacing w:lineRule="auto" w:line="276" w:before="0" w:after="240"/>
        <w:ind w:left="426" w:hanging="426"/>
        <w:rPr>
          <w:b/>
          <w:b/>
          <w:szCs w:val="22"/>
          <w:lang w:eastAsia="pl-PL"/>
        </w:rPr>
      </w:pPr>
      <w:r>
        <w:rPr>
          <w:b/>
          <w:szCs w:val="22"/>
          <w:lang w:eastAsia="pl-PL"/>
        </w:rPr>
        <w:t>Dokumentacja budowy</w:t>
      </w:r>
    </w:p>
    <w:p>
      <w:pPr>
        <w:pStyle w:val="ListParagraph"/>
        <w:numPr>
          <w:ilvl w:val="2"/>
          <w:numId w:val="2"/>
        </w:numPr>
        <w:suppressAutoHyphens w:val="false"/>
        <w:spacing w:lineRule="auto" w:line="276" w:before="0" w:after="0"/>
        <w:rPr>
          <w:b/>
          <w:b/>
          <w:szCs w:val="22"/>
          <w:lang w:eastAsia="pl-PL"/>
        </w:rPr>
      </w:pPr>
      <w:r>
        <w:rPr>
          <w:b/>
          <w:szCs w:val="22"/>
          <w:lang w:eastAsia="pl-PL"/>
        </w:rPr>
        <w:t xml:space="preserve">Zakres dokumentacji projektowej </w:t>
      </w:r>
    </w:p>
    <w:p>
      <w:pPr>
        <w:pStyle w:val="Normal"/>
        <w:spacing w:lineRule="auto" w:line="276" w:before="0" w:after="0"/>
        <w:rPr>
          <w:rFonts w:eastAsia="Arial"/>
          <w:szCs w:val="22"/>
        </w:rPr>
      </w:pPr>
      <w:r>
        <w:rPr>
          <w:rFonts w:eastAsia="Arial"/>
          <w:szCs w:val="22"/>
        </w:rPr>
        <w:t>Przekazana dokumentacja projektowa ma zawierać opis, część graficzną, obliczenia i dokumenty, zgodnie z wykazem podanym w szczegółowych warunkach umowy, uwzględniającym podział na dokumentację projektową.</w:t>
      </w:r>
    </w:p>
    <w:p>
      <w:pPr>
        <w:pStyle w:val="Normal"/>
        <w:spacing w:lineRule="auto" w:line="276" w:before="0" w:after="0"/>
        <w:rPr>
          <w:rFonts w:eastAsia="Arial"/>
          <w:szCs w:val="22"/>
        </w:rPr>
      </w:pPr>
      <w:r>
        <w:rPr>
          <w:rFonts w:eastAsia="Arial"/>
          <w:szCs w:val="22"/>
        </w:rPr>
      </w:r>
    </w:p>
    <w:p>
      <w:pPr>
        <w:pStyle w:val="ListParagraph"/>
        <w:numPr>
          <w:ilvl w:val="2"/>
          <w:numId w:val="2"/>
        </w:numPr>
        <w:suppressAutoHyphens w:val="false"/>
        <w:spacing w:lineRule="auto" w:line="276" w:before="0" w:after="0"/>
        <w:ind w:left="567" w:hanging="567"/>
        <w:rPr>
          <w:rFonts w:eastAsia="Times New Roman"/>
          <w:b/>
          <w:b/>
          <w:szCs w:val="22"/>
          <w:lang w:eastAsia="pl-PL"/>
        </w:rPr>
      </w:pPr>
      <w:r>
        <w:rPr>
          <w:rFonts w:eastAsia="Arial"/>
          <w:b/>
          <w:szCs w:val="22"/>
        </w:rPr>
        <w:t>Zgodność robót z dokumentacją projektową i SST</w:t>
      </w:r>
    </w:p>
    <w:p>
      <w:pPr>
        <w:pStyle w:val="Normal"/>
        <w:spacing w:lineRule="auto" w:line="276" w:before="0" w:after="0"/>
        <w:rPr>
          <w:rFonts w:eastAsia="Arial"/>
        </w:rPr>
      </w:pPr>
      <w:r>
        <w:rPr>
          <w:rFonts w:eastAsia="Arial"/>
        </w:rPr>
        <w:t>Dokumentacja projektowa, SST oraz dodatkowe dokumenty przekazane Wykonawcy przez Inspektora nadzoru inwestorskiego stanowią załączniki do umowy, a wymagania wyszczególnione w choćby jednym z nich są obowiązujące dla Wykonawcy tak jakby zawarte były w całej dokumentacji. Wymagania Inspektora nadzoru inwestorskiego wykraczające poza zakres przedmiotu umowy wymagają akceptacji Zamawiającego w ciągu 7 dni. W przypadku rozbieżności w ustaleniach poszczególnych dokumentów obowiązuje kolejność ich ważności wymieniona w „Ogólnych warunkach umowy”. Wykonawca nie może wykorzystywać błędów lub opuszczeń w dokumentach kontraktowych, a o ich wykryciu winien natychmiast powiadomić Inspektora nadzoru inwestorskiego, który dokona odpowiednich zmian i poprawek.</w:t>
      </w:r>
    </w:p>
    <w:p>
      <w:pPr>
        <w:pStyle w:val="Normal"/>
        <w:spacing w:lineRule="auto" w:line="276"/>
        <w:rPr>
          <w:rFonts w:eastAsia="Arial"/>
        </w:rPr>
      </w:pPr>
      <w:r>
        <w:rPr>
          <w:rFonts w:eastAsia="Arial"/>
        </w:rPr>
        <w:t>Wszystkie wykonane roboty i dostarczone materiały mają być zgodne z dokumentacją projektową i SST.</w:t>
      </w:r>
    </w:p>
    <w:p>
      <w:pPr>
        <w:pStyle w:val="Normal"/>
        <w:spacing w:lineRule="auto" w:line="276"/>
        <w:rPr>
          <w:rFonts w:eastAsia="Arial"/>
        </w:rPr>
      </w:pPr>
      <w:r>
        <w:rPr>
          <w:rFonts w:eastAsia="Arial"/>
        </w:rPr>
        <w:t>Wielkości określone w dokumentacji projektowej i w SST będą uważane za wartości docelowe, od których dopuszczalne są odchylenia w ramach określonego przedziału tolerancji.</w:t>
      </w:r>
    </w:p>
    <w:p>
      <w:pPr>
        <w:pStyle w:val="Normal"/>
        <w:spacing w:lineRule="auto" w:line="276"/>
        <w:rPr>
          <w:rFonts w:eastAsia="Arial"/>
        </w:rPr>
      </w:pPr>
      <w:r>
        <w:rPr>
          <w:rFonts w:eastAsia="Arial"/>
        </w:rPr>
        <w:t>Cechy materiałów i elementów budowli muszą być jednorodne i wykazywać zgodność z określonymi wymaganiami, a rozrzuty tych cech nie mogą przekraczać dopuszczalnego przedziału tolerancji.</w:t>
      </w:r>
    </w:p>
    <w:p>
      <w:pPr>
        <w:pStyle w:val="Normal"/>
        <w:tabs>
          <w:tab w:val="clear" w:pos="720"/>
          <w:tab w:val="left" w:pos="518" w:leader="none"/>
        </w:tabs>
        <w:suppressAutoHyphens w:val="false"/>
        <w:spacing w:lineRule="auto" w:line="276" w:before="0" w:after="240"/>
        <w:rPr>
          <w:rFonts w:eastAsia="Arial"/>
        </w:rPr>
      </w:pPr>
      <w:r>
        <w:rPr>
          <w:rFonts w:eastAsia="Arial"/>
        </w:rPr>
        <w:t>W przypadku, gdy dostarczane materiały lub wykonane roboty nie są zgodne z dokumentacją projektową lub SST i mają wpływ na niezadowalającą jakość elementu budowli, to takie materiały zostaną zastąpione innymi, a elementy budowli rozebrane i wykonane ponownie na koszt Wykonawcy.</w:t>
      </w:r>
    </w:p>
    <w:p>
      <w:pPr>
        <w:pStyle w:val="ListParagraph"/>
        <w:numPr>
          <w:ilvl w:val="1"/>
          <w:numId w:val="2"/>
        </w:numPr>
        <w:suppressAutoHyphens w:val="false"/>
        <w:spacing w:lineRule="auto" w:line="240" w:before="0" w:after="0"/>
        <w:jc w:val="left"/>
        <w:rPr>
          <w:rFonts w:eastAsia="Times New Roman"/>
          <w:b/>
          <w:b/>
          <w:szCs w:val="24"/>
          <w:lang w:eastAsia="pl-PL"/>
        </w:rPr>
      </w:pPr>
      <w:r>
        <w:rPr>
          <w:rFonts w:eastAsia="Times New Roman"/>
          <w:b/>
          <w:szCs w:val="24"/>
          <w:lang w:eastAsia="pl-PL"/>
        </w:rPr>
        <w:t>Inne istotne dokumenty budowy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Oprócz dokumentów wyszczególnionych w punktach 2.4.1 i 2.4.2, dokumenty budowy zawierają też:</w:t>
      </w:r>
    </w:p>
    <w:p>
      <w:pPr>
        <w:pStyle w:val="ListParagraph"/>
        <w:numPr>
          <w:ilvl w:val="0"/>
          <w:numId w:val="9"/>
        </w:numPr>
        <w:suppressAutoHyphens w:val="false"/>
        <w:spacing w:lineRule="auto" w:line="276" w:before="0" w:after="0"/>
        <w:ind w:left="284" w:hanging="284"/>
        <w:rPr>
          <w:rFonts w:eastAsia="Times New Roman"/>
          <w:szCs w:val="24"/>
          <w:lang w:eastAsia="pl-PL"/>
        </w:rPr>
      </w:pPr>
      <w:r>
        <w:rPr>
          <w:rFonts w:eastAsia="Times New Roman"/>
          <w:szCs w:val="24"/>
          <w:lang w:eastAsia="pl-PL"/>
        </w:rPr>
        <w:t>Dokumenty wchodzące w skład umowy;</w:t>
      </w:r>
    </w:p>
    <w:p>
      <w:pPr>
        <w:pStyle w:val="ListParagraph"/>
        <w:numPr>
          <w:ilvl w:val="0"/>
          <w:numId w:val="9"/>
        </w:numPr>
        <w:suppressAutoHyphens w:val="false"/>
        <w:spacing w:lineRule="auto" w:line="276" w:before="0" w:after="0"/>
        <w:ind w:left="284" w:hanging="284"/>
        <w:rPr>
          <w:rFonts w:eastAsia="Times New Roman"/>
          <w:szCs w:val="24"/>
          <w:lang w:eastAsia="pl-PL"/>
        </w:rPr>
      </w:pPr>
      <w:r>
        <w:rPr>
          <w:rFonts w:eastAsia="Times New Roman"/>
          <w:szCs w:val="24"/>
          <w:lang w:eastAsia="pl-PL"/>
        </w:rPr>
        <w:t>Protokoły przekazania placu budowy wykonawcy ;</w:t>
      </w:r>
    </w:p>
    <w:p>
      <w:pPr>
        <w:pStyle w:val="ListParagraph"/>
        <w:numPr>
          <w:ilvl w:val="0"/>
          <w:numId w:val="9"/>
        </w:numPr>
        <w:suppressAutoHyphens w:val="false"/>
        <w:spacing w:lineRule="auto" w:line="276" w:before="0" w:after="0"/>
        <w:ind w:left="284" w:hanging="284"/>
        <w:rPr>
          <w:rFonts w:eastAsia="Times New Roman"/>
          <w:szCs w:val="24"/>
          <w:lang w:eastAsia="pl-PL"/>
        </w:rPr>
      </w:pPr>
      <w:r>
        <w:rPr>
          <w:rFonts w:eastAsia="Times New Roman"/>
          <w:szCs w:val="24"/>
          <w:lang w:eastAsia="pl-PL"/>
        </w:rPr>
        <w:t>Umowy cywilno-prawne ze osobami trzecimi i inne umowy i porozumienia cywilnoprawne;</w:t>
      </w:r>
    </w:p>
    <w:p>
      <w:pPr>
        <w:pStyle w:val="ListParagraph"/>
        <w:numPr>
          <w:ilvl w:val="0"/>
          <w:numId w:val="9"/>
        </w:numPr>
        <w:suppressAutoHyphens w:val="false"/>
        <w:spacing w:lineRule="auto" w:line="276" w:before="0" w:after="0"/>
        <w:ind w:left="284" w:hanging="284"/>
        <w:rPr>
          <w:rFonts w:eastAsia="Times New Roman"/>
          <w:szCs w:val="24"/>
          <w:lang w:eastAsia="pl-PL"/>
        </w:rPr>
      </w:pPr>
      <w:r>
        <w:rPr>
          <w:rFonts w:eastAsia="Times New Roman"/>
          <w:szCs w:val="24"/>
          <w:lang w:eastAsia="pl-PL"/>
        </w:rPr>
        <w:t>Instrukcje zarządzającego realizacją umowy oraz sprawozdania ze spotkań i narad na budowie;</w:t>
      </w:r>
    </w:p>
    <w:p>
      <w:pPr>
        <w:pStyle w:val="ListParagraph"/>
        <w:numPr>
          <w:ilvl w:val="0"/>
          <w:numId w:val="9"/>
        </w:numPr>
        <w:suppressAutoHyphens w:val="false"/>
        <w:spacing w:lineRule="auto" w:line="276" w:before="0" w:after="0"/>
        <w:ind w:left="284" w:hanging="284"/>
        <w:rPr>
          <w:rFonts w:eastAsia="Times New Roman"/>
          <w:szCs w:val="24"/>
          <w:lang w:eastAsia="pl-PL"/>
        </w:rPr>
      </w:pPr>
      <w:r>
        <w:rPr>
          <w:rFonts w:eastAsia="Times New Roman"/>
          <w:szCs w:val="24"/>
          <w:lang w:eastAsia="pl-PL"/>
        </w:rPr>
        <w:t>Protokoły odbioru robót,</w:t>
      </w:r>
    </w:p>
    <w:p>
      <w:pPr>
        <w:pStyle w:val="ListParagraph"/>
        <w:numPr>
          <w:ilvl w:val="0"/>
          <w:numId w:val="9"/>
        </w:numPr>
        <w:suppressAutoHyphens w:val="false"/>
        <w:spacing w:lineRule="auto" w:line="276" w:before="0" w:after="0"/>
        <w:ind w:left="284" w:hanging="284"/>
        <w:rPr>
          <w:rFonts w:eastAsia="Times New Roman"/>
          <w:szCs w:val="24"/>
          <w:lang w:eastAsia="pl-PL"/>
        </w:rPr>
      </w:pPr>
      <w:r>
        <w:rPr>
          <w:rFonts w:eastAsia="Times New Roman"/>
          <w:szCs w:val="24"/>
          <w:lang w:eastAsia="pl-PL"/>
        </w:rPr>
        <w:t>Opinie ekspertów i konsultantów,</w:t>
      </w:r>
    </w:p>
    <w:p>
      <w:pPr>
        <w:pStyle w:val="ListParagraph"/>
        <w:numPr>
          <w:ilvl w:val="0"/>
          <w:numId w:val="9"/>
        </w:numPr>
        <w:suppressAutoHyphens w:val="false"/>
        <w:spacing w:lineRule="auto" w:line="276" w:before="0" w:after="0"/>
        <w:ind w:left="284" w:hanging="284"/>
        <w:rPr>
          <w:rFonts w:eastAsia="Times New Roman"/>
          <w:sz w:val="18"/>
          <w:szCs w:val="24"/>
          <w:lang w:eastAsia="pl-PL"/>
        </w:rPr>
      </w:pPr>
      <w:r>
        <w:rPr>
          <w:rFonts w:eastAsia="Times New Roman"/>
          <w:szCs w:val="24"/>
          <w:lang w:eastAsia="pl-PL"/>
        </w:rPr>
        <w:t>Rysunki techniczne;</w:t>
      </w:r>
    </w:p>
    <w:p>
      <w:pPr>
        <w:pStyle w:val="ListParagraph"/>
        <w:numPr>
          <w:ilvl w:val="0"/>
          <w:numId w:val="9"/>
        </w:numPr>
        <w:suppressAutoHyphens w:val="false"/>
        <w:spacing w:lineRule="auto" w:line="276" w:before="0" w:after="0"/>
        <w:ind w:left="284" w:hanging="284"/>
        <w:rPr>
          <w:rFonts w:eastAsia="Times New Roman"/>
          <w:sz w:val="18"/>
          <w:szCs w:val="24"/>
          <w:lang w:eastAsia="pl-PL"/>
        </w:rPr>
      </w:pPr>
      <w:r>
        <w:rPr>
          <w:rFonts w:eastAsia="Times New Roman"/>
          <w:szCs w:val="24"/>
          <w:lang w:eastAsia="pl-PL"/>
        </w:rPr>
        <w:t>Specyfikacje techniczne;</w:t>
      </w:r>
    </w:p>
    <w:p>
      <w:pPr>
        <w:pStyle w:val="ListParagraph"/>
        <w:suppressAutoHyphens w:val="false"/>
        <w:spacing w:lineRule="auto" w:line="276" w:before="0" w:after="0"/>
        <w:ind w:left="284" w:hanging="0"/>
        <w:rPr>
          <w:rFonts w:eastAsia="Times New Roman"/>
          <w:sz w:val="18"/>
          <w:szCs w:val="24"/>
          <w:lang w:eastAsia="pl-PL"/>
        </w:rPr>
      </w:pPr>
      <w:r>
        <w:rPr>
          <w:rFonts w:eastAsia="Times New Roman"/>
          <w:sz w:val="18"/>
          <w:szCs w:val="24"/>
          <w:lang w:eastAsia="pl-PL"/>
        </w:rPr>
      </w:r>
    </w:p>
    <w:p>
      <w:pPr>
        <w:pStyle w:val="ListParagraph"/>
        <w:numPr>
          <w:ilvl w:val="2"/>
          <w:numId w:val="2"/>
        </w:numPr>
        <w:suppressAutoHyphens w:val="false"/>
        <w:spacing w:lineRule="auto" w:line="276" w:before="0" w:after="0"/>
        <w:rPr>
          <w:rFonts w:eastAsia="Times New Roman"/>
          <w:b/>
          <w:b/>
          <w:szCs w:val="24"/>
          <w:lang w:eastAsia="pl-PL"/>
        </w:rPr>
      </w:pPr>
      <w:r>
        <w:rPr>
          <w:rFonts w:eastAsia="Times New Roman"/>
          <w:b/>
          <w:szCs w:val="24"/>
          <w:lang w:eastAsia="pl-PL"/>
        </w:rPr>
        <w:t>Przechowywanie dokumentów budowy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Wszystkie dokumenty budowy będą przechowywane na placu budowy we właściwie zabezpieczonym miejscu. Wszystkie dokumenty zagubione będą natychmiast odtworzone zgodnie ze stosownymi wymaganiami prawa. Wszystkie dokumenty budowy będą stale dostępne do wglądu zarządzającego realizacją umowy zarządzającego realizacją umowy oraz upoważnionych przedstawicieli zamawiającego w dowolnym czasie i na każde żądanie.</w:t>
      </w:r>
    </w:p>
    <w:p>
      <w:pPr>
        <w:pStyle w:val="ListParagraph"/>
        <w:numPr>
          <w:ilvl w:val="1"/>
          <w:numId w:val="2"/>
        </w:numPr>
        <w:suppressAutoHyphens w:val="false"/>
        <w:spacing w:lineRule="auto" w:line="276" w:before="0" w:after="240"/>
        <w:ind w:left="426" w:hanging="426"/>
        <w:rPr>
          <w:rFonts w:eastAsia="Times New Roman"/>
          <w:b/>
          <w:b/>
          <w:szCs w:val="24"/>
          <w:lang w:eastAsia="pl-PL"/>
        </w:rPr>
      </w:pPr>
      <w:r>
        <w:rPr>
          <w:rFonts w:eastAsia="Times New Roman"/>
          <w:b/>
          <w:szCs w:val="24"/>
          <w:lang w:eastAsia="pl-PL"/>
        </w:rPr>
        <w:t>Dokumenty przygotowywane przez Wykonawcę w trakcie trwania budowy</w:t>
      </w:r>
    </w:p>
    <w:p>
      <w:pPr>
        <w:pStyle w:val="ListParagraph"/>
        <w:numPr>
          <w:ilvl w:val="2"/>
          <w:numId w:val="2"/>
        </w:numPr>
        <w:suppressAutoHyphens w:val="false"/>
        <w:spacing w:lineRule="auto" w:line="276" w:before="0" w:after="0"/>
        <w:rPr>
          <w:rFonts w:eastAsia="Times New Roman"/>
          <w:b/>
          <w:b/>
          <w:szCs w:val="24"/>
          <w:lang w:eastAsia="pl-PL"/>
        </w:rPr>
      </w:pPr>
      <w:r>
        <w:rPr>
          <w:rFonts w:eastAsia="Times New Roman"/>
          <w:b/>
          <w:szCs w:val="24"/>
          <w:lang w:eastAsia="pl-PL"/>
        </w:rPr>
        <w:t>Informacje ogólne</w:t>
      </w:r>
    </w:p>
    <w:p>
      <w:pPr>
        <w:pStyle w:val="Normal"/>
        <w:suppressAutoHyphens w:val="false"/>
        <w:spacing w:lineRule="auto" w:line="276" w:before="0" w:after="0"/>
        <w:rPr>
          <w:rFonts w:eastAsia="Times New Roman"/>
          <w:szCs w:val="24"/>
          <w:lang w:eastAsia="pl-PL"/>
        </w:rPr>
      </w:pPr>
      <w:r>
        <w:rPr>
          <w:rFonts w:eastAsia="Times New Roman"/>
          <w:szCs w:val="24"/>
          <w:lang w:eastAsia="pl-PL"/>
        </w:rPr>
        <w:t>W trakcie trwania budowy i przed zakończeniem robót Wykonawca jest zobowiązany do dostarczania na polecenie Zarządzającego realizacją umowy następujących dokumentów:</w:t>
      </w:r>
    </w:p>
    <w:p>
      <w:pPr>
        <w:pStyle w:val="ListParagraph"/>
        <w:numPr>
          <w:ilvl w:val="0"/>
          <w:numId w:val="15"/>
        </w:numPr>
        <w:suppressAutoHyphens w:val="false"/>
        <w:spacing w:lineRule="auto" w:line="276" w:before="0" w:after="0"/>
        <w:rPr>
          <w:rFonts w:eastAsia="Times New Roman"/>
          <w:szCs w:val="24"/>
          <w:lang w:eastAsia="pl-PL"/>
        </w:rPr>
      </w:pPr>
      <w:r>
        <w:rPr>
          <w:rFonts w:eastAsia="Times New Roman"/>
          <w:szCs w:val="24"/>
          <w:lang w:eastAsia="pl-PL"/>
        </w:rPr>
        <w:t>Rysunki robocze</w:t>
      </w:r>
    </w:p>
    <w:p>
      <w:pPr>
        <w:pStyle w:val="ListParagraph"/>
        <w:numPr>
          <w:ilvl w:val="0"/>
          <w:numId w:val="15"/>
        </w:numPr>
        <w:suppressAutoHyphens w:val="false"/>
        <w:spacing w:lineRule="auto" w:line="276" w:before="0" w:after="240"/>
        <w:rPr>
          <w:rFonts w:eastAsia="Times New Roman"/>
          <w:szCs w:val="24"/>
          <w:lang w:eastAsia="pl-PL"/>
        </w:rPr>
      </w:pPr>
      <w:r>
        <w:rPr>
          <w:rFonts w:eastAsia="Times New Roman"/>
          <w:szCs w:val="24"/>
          <w:lang w:eastAsia="pl-PL"/>
        </w:rPr>
        <w:t>Dokumentacja powykonawcza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 xml:space="preserve">Przedkładane dane winny być na tyle szczegółowe, aby można było ustalić ich zgodność z dokumentami wchodzącymi w skład umowy. Sprawdzenie, przyjęcie </w:t>
        <w:br/>
        <w:t>i zatwierdzenie harmonogramów, rysunków roboczych, wykazów materiałów oraz procedur złożonych lub wnioskowanych przez Wykonawcę nie będą miały wpływu na kwotę kontraktu i wszelkie wynikające stąd koszty ponoszone będą wyłącznie przez wykonawcę.</w:t>
      </w:r>
    </w:p>
    <w:p>
      <w:pPr>
        <w:pStyle w:val="ListParagraph"/>
        <w:numPr>
          <w:ilvl w:val="2"/>
          <w:numId w:val="2"/>
        </w:numPr>
        <w:suppressAutoHyphens w:val="false"/>
        <w:spacing w:lineRule="auto" w:line="276" w:before="0" w:after="0"/>
        <w:rPr>
          <w:rFonts w:eastAsia="Times New Roman"/>
          <w:b/>
          <w:b/>
          <w:szCs w:val="24"/>
          <w:lang w:eastAsia="pl-PL"/>
        </w:rPr>
      </w:pPr>
      <w:r>
        <w:rPr>
          <w:rFonts w:eastAsia="Times New Roman"/>
          <w:b/>
          <w:szCs w:val="24"/>
          <w:lang w:eastAsia="pl-PL"/>
        </w:rPr>
        <w:t>Rysunki robocze</w:t>
      </w:r>
    </w:p>
    <w:p>
      <w:pPr>
        <w:pStyle w:val="Normal"/>
        <w:suppressAutoHyphens w:val="false"/>
        <w:spacing w:lineRule="auto" w:line="276" w:before="0" w:after="240"/>
        <w:rPr>
          <w:rFonts w:eastAsia="Times New Roman"/>
          <w:color w:val="000000"/>
          <w:szCs w:val="24"/>
          <w:lang w:eastAsia="pl-PL"/>
        </w:rPr>
      </w:pPr>
      <w:r>
        <w:rPr>
          <w:rFonts w:eastAsia="Times New Roman"/>
          <w:color w:val="000000"/>
          <w:szCs w:val="24"/>
          <w:lang w:eastAsia="pl-PL"/>
        </w:rPr>
        <w:t>Elementy, urządzenia i materiały, dla których Zarządzający Realizacją Umowy wyda polecenie przedłożenia wykazów, rysunków lub opisów nie będą wykonywane, używane ani instalowane dopóki nie otrzyma on niezbędnych dokumentów oraz odpowiednio oznaczonych ostatecznych rysunków roboczych. Zarządzający realizacją umowy sprawdza rysunki jedynie w zakresie ogólnych warunków projektowania i w żadnym przypadku nie zwalnia to Wykonawcy z odpowiedzialności za omyłki lub braki w nich zawarte. Zarządzający realizacją umowy zajmie się przedłożonymi materiałami możliwie jak najszybciej, zatwierdzi i przekaże je Wykonawcy w terminie przewidzianym w umowie. Zwłoka wynikająca z ewentualnej konieczności ponownego składania dokumentów nie powoduje przedłużenia terminów określonych w umowie.</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Rysunki robocze będą przedkładane zarządzającemu realizacją umowy w odpowiednim terminie tak, by zapewnić mu nie mniej niż 20 zwykłych dni roboczych na ich przeanalizowanie. Dostarczanie rysunków roboczych elementów i urządzeń współzależnych ze sobą, należy koordynować w taki sposób, aby zarządzający realizacją umowy otrzymał wszystkie rysunki na czas tak, żeby mógł poza przeanalizowaniem poszczególnych elementów, dokonać przeglądu ich wzajemnych powiązań.</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Rysunki robocze powinny być dokładne, wyraźne i kompletne. Powinny zawierać wszelkie niezbędne informacje, w tym dokładne oznaczenie elementów w odniesieniu do projektu wykonawczego i szczegółowych specyfikacji technicznych.</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O ile Zarządzający realizacją umowy nie postanowi inaczej, rysunki robocze składane będą przez Wykonawcę, który potwierdzi swoim podpisem i stemplem umieszczonym na rysunku roboczym, lub w inny uzgodniony sposób, że sprawdził on (wykonawca) je i zatwierdził oraz, że roboty w nich przedstawione są zgodne z warunkami umowy i zostały sprawdzone pod względem wymiarów i powiązań z wszelkimi innymi elementami. Zarządzający realizacją umowy, w uzasadnionych przypadkach, może wymagać akceptacji składanych dokumentów przez nadzór autorski. W przypadku konieczności opracowania rysunków przez jednostkę projektową, należy przewidzieć 14 dni roboczych na ich wykonanie przez autora.</w:t>
      </w:r>
    </w:p>
    <w:p>
      <w:pPr>
        <w:pStyle w:val="ListParagraph"/>
        <w:numPr>
          <w:ilvl w:val="2"/>
          <w:numId w:val="2"/>
        </w:numPr>
        <w:suppressAutoHyphens w:val="false"/>
        <w:spacing w:lineRule="auto" w:line="276" w:before="0" w:after="0"/>
        <w:rPr>
          <w:rFonts w:eastAsia="Times New Roman"/>
          <w:b/>
          <w:b/>
          <w:szCs w:val="24"/>
          <w:lang w:eastAsia="pl-PL"/>
        </w:rPr>
      </w:pPr>
      <w:r>
        <w:rPr>
          <w:rFonts w:eastAsia="Times New Roman"/>
          <w:b/>
          <w:szCs w:val="24"/>
          <w:lang w:eastAsia="pl-PL"/>
        </w:rPr>
        <w:t>Dokumentacja powykonawcza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odpowiedzialny będzie za prowadzenie na bieżąco ewidencji wszelkich zmian w rodzaju materiałów, urządzeń, lokalizacji i wielkości robót. Zmiany te należy rejestrować na komplecie rysunków, wyłącznie na to przeznaczonych. Wykonawca winien przedkładać zarządzającemu realizacją umowy aktualizowane na bieżąco rysunki powykonawcze, co najmniej raz w miesiącu, w celu dokonania ich przeglądu i sprawdzenia. Po zakończeniu robót kompletny zestaw rysunków zostanie przekazany zarządzającemu realizacją umowy.</w:t>
      </w:r>
    </w:p>
    <w:p>
      <w:pPr>
        <w:pStyle w:val="Akapit"/>
        <w:numPr>
          <w:ilvl w:val="0"/>
          <w:numId w:val="2"/>
        </w:numPr>
        <w:spacing w:lineRule="auto" w:line="276" w:before="0" w:after="0"/>
        <w:ind w:left="284" w:hanging="284"/>
        <w:rPr>
          <w:lang w:eastAsia="pl-PL"/>
        </w:rPr>
      </w:pPr>
      <w:bookmarkStart w:id="12" w:name="_Toc145681956"/>
      <w:r>
        <w:rPr>
          <w:lang w:eastAsia="pl-PL"/>
        </w:rPr>
        <w:t>ZARZĄDZAJĄCY REALIZACJĄ UMOWY</w:t>
      </w:r>
      <w:bookmarkEnd w:id="12"/>
    </w:p>
    <w:p>
      <w:pPr>
        <w:pStyle w:val="Normal"/>
        <w:suppressAutoHyphens w:val="false"/>
        <w:spacing w:lineRule="auto" w:line="276" w:before="0" w:after="240"/>
        <w:rPr>
          <w:rFonts w:eastAsia="Times New Roman"/>
          <w:szCs w:val="24"/>
          <w:lang w:eastAsia="pl-PL"/>
        </w:rPr>
      </w:pPr>
      <w:r>
        <w:rPr>
          <w:rFonts w:eastAsia="Times New Roman"/>
          <w:szCs w:val="24"/>
          <w:lang w:eastAsia="pl-PL"/>
        </w:rPr>
        <w:t>Zarządzający realizacją umowy w ramach posiadanego umocowania  od Zamawiającego reprezentuje interesy Zamawiającego na budowie przez sprawowanie kontroli zgodności realizacji robót budowlanych z dokumentacją projektową, specyfikacjami technicznymi, przepisami, zasadami wiedzy technicznej oraz postanowieniami warunków umowy. Dla prawidłowej realizacji swoich obowiązków, zgodnie z przepisami prawa budowlanego, Zarządzający realizacją umowy pisemnie wyznacza inspektorów nadzoru działających w jego imieniu, w zakresie przekazanych im uprawnień i obowiązków. Wydawane przez nich polecenia mają moc poleceń Zarządzającego Realizacją Umowy.</w:t>
      </w:r>
    </w:p>
    <w:p>
      <w:pPr>
        <w:pStyle w:val="Akapit"/>
        <w:numPr>
          <w:ilvl w:val="0"/>
          <w:numId w:val="2"/>
        </w:numPr>
        <w:spacing w:lineRule="auto" w:line="276" w:before="0" w:after="0"/>
        <w:ind w:left="284" w:hanging="284"/>
        <w:rPr>
          <w:lang w:eastAsia="pl-PL"/>
        </w:rPr>
      </w:pPr>
      <w:bookmarkStart w:id="13" w:name="_Toc145681957"/>
      <w:r>
        <w:rPr>
          <w:lang w:eastAsia="pl-PL"/>
        </w:rPr>
        <w:t>MATERIAŁY</w:t>
      </w:r>
      <w:bookmarkEnd w:id="13"/>
    </w:p>
    <w:p>
      <w:pPr>
        <w:pStyle w:val="Normal"/>
        <w:suppressAutoHyphens w:val="false"/>
        <w:spacing w:lineRule="auto" w:line="276" w:before="0" w:after="240"/>
        <w:rPr>
          <w:rFonts w:eastAsia="Times New Roman"/>
          <w:szCs w:val="24"/>
          <w:lang w:eastAsia="pl-PL"/>
        </w:rPr>
      </w:pPr>
      <w:r>
        <w:rPr>
          <w:rFonts w:eastAsia="Times New Roman"/>
          <w:szCs w:val="24"/>
          <w:lang w:eastAsia="pl-PL"/>
        </w:rPr>
        <w:t>Materiały stosowane przy wykonywaniu robót muszą być nowe i nieużywane. Materiały powinny spełniać wymogi art. 10 Ustawy Prawo Budowlane.</w:t>
      </w:r>
    </w:p>
    <w:p>
      <w:pPr>
        <w:pStyle w:val="ListParagraph"/>
        <w:numPr>
          <w:ilvl w:val="1"/>
          <w:numId w:val="2"/>
        </w:numPr>
        <w:suppressAutoHyphens w:val="false"/>
        <w:spacing w:lineRule="auto" w:line="276" w:before="0" w:after="0"/>
        <w:ind w:left="142" w:hanging="142"/>
        <w:rPr>
          <w:b/>
          <w:b/>
          <w:lang w:eastAsia="pl-PL"/>
        </w:rPr>
      </w:pPr>
      <w:r>
        <w:rPr>
          <w:b/>
          <w:lang w:eastAsia="pl-PL"/>
        </w:rPr>
        <w:t>Źródła uzyskiwania materiałów</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Wszystkie wbudowywane materiały w trakcie wykonywania robót muszą być zgodne z wymaganiami określonymi w poszczególnych szczegółowych specyfikacjach technicznych. Przynajmniej na trzy tygodnie przed użyciem każdego materiału przewidywanego do wykonania robót stałych wykonawca przedłoży szczegółową informację o źródle produkcji, zakupu lub pozyskania takich materiałów, atestach, wynikach odpowiednich badań laboratoryjnych i próbek do akceptacji zarządzającego realizacją umowy.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Akceptacja Zarządzającego realizacją umowy udzielona jakiejś partii materiałów z danego źródła nie będzie znaczyć, że wszystkie materiały pochodzące z tego źródła są akceptowane automatycznie. Wykonawca jest zobowiązany do dostarczania atestów i wykonania prób materiałów otrzymanych z zatwierdzonego źródła dla każdej dostawy, żeby udowodnić, że nadal spełniają one wymagania odpowiedniej szczegółowej specyfikacji technicznej.</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 przypadku stosowania materiałów lokalnych, pochodzących z jakiegokolwiek miejscowego źródła, włączając te, które zostały wskazane przez zamawiającego, przed rozpoczęciem wykorzystywania tego źródła wykonawca ma obowiązek dostarczenia Zarządzającemu realizacją umowy wszystkich wymaganych dokumentów pozwalających na jego prawidłową eksploatację. Wykonawca będzie ponosił wszystkie koszty pozyskania i dostarczenia na plac budowy materiałów lokalnych. Za ich ilość i jakość odpowiada Wykonawca. Stosowanie materiałów pochodzących z lokalnych źródeł wymaga akceptacji Zarządzającego Realizacją Umowy.</w:t>
      </w:r>
    </w:p>
    <w:p>
      <w:pPr>
        <w:pStyle w:val="ListParagraph"/>
        <w:numPr>
          <w:ilvl w:val="1"/>
          <w:numId w:val="2"/>
        </w:numPr>
        <w:suppressAutoHyphens w:val="false"/>
        <w:spacing w:lineRule="auto" w:line="276" w:before="0" w:after="0"/>
        <w:ind w:left="426" w:hanging="426"/>
        <w:rPr>
          <w:b/>
          <w:b/>
          <w:szCs w:val="22"/>
          <w:lang w:eastAsia="pl-PL"/>
        </w:rPr>
      </w:pPr>
      <w:r>
        <w:rPr>
          <w:b/>
          <w:szCs w:val="22"/>
          <w:lang w:eastAsia="pl-PL"/>
        </w:rPr>
        <w:t>Kontrola materiałów</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Zarządzający realizacją umowy może okresowo kontrolować dostarczane na budowę materiały, żeby sprawdzić czy są one zgodne z wymaganiami szczegółowych specyfikacji technicznych.</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Zarządzający realizacją umowy jest upoważniony do pobierania i badania próbek materiału żeby sprawdzić jego własności. Wyniki tych prób stanowić mogą podstawę do aprobaty jakości danej partii materiałów. Zarządzający realizacją umowy jest również upoważniony do przeprowadzania inspekcji w wytwórniach materiałów i urządzeń. W czasie przeprowadzania badania materiałów przez zarządzającego realizacją umowy, Wykonawca ma obowiązek spełniać następujące warunki:</w:t>
      </w:r>
    </w:p>
    <w:p>
      <w:pPr>
        <w:pStyle w:val="ListParagraph"/>
        <w:numPr>
          <w:ilvl w:val="0"/>
          <w:numId w:val="10"/>
        </w:numPr>
        <w:suppressAutoHyphens w:val="false"/>
        <w:spacing w:lineRule="auto" w:line="276" w:before="0" w:after="0"/>
        <w:ind w:left="284" w:hanging="284"/>
        <w:rPr>
          <w:rFonts w:eastAsia="Times New Roman"/>
          <w:szCs w:val="24"/>
          <w:lang w:eastAsia="pl-PL"/>
        </w:rPr>
      </w:pPr>
      <w:r>
        <w:rPr>
          <w:rFonts w:eastAsia="Times New Roman"/>
          <w:szCs w:val="24"/>
          <w:lang w:eastAsia="pl-PL"/>
        </w:rPr>
        <w:t>W trakcie badania, Zarządzającemu realizacją umowy będzie zapewnione niezbędne wsparcie i pomoc przez Wykonawcę i producenta materiałów;</w:t>
      </w:r>
    </w:p>
    <w:p>
      <w:pPr>
        <w:pStyle w:val="ListParagraph"/>
        <w:numPr>
          <w:ilvl w:val="0"/>
          <w:numId w:val="10"/>
        </w:numPr>
        <w:suppressAutoHyphens w:val="false"/>
        <w:spacing w:lineRule="auto" w:line="276" w:before="0" w:after="240"/>
        <w:ind w:left="284" w:hanging="284"/>
        <w:rPr>
          <w:sz w:val="18"/>
          <w:szCs w:val="22"/>
          <w:lang w:eastAsia="pl-PL"/>
        </w:rPr>
      </w:pPr>
      <w:r>
        <w:rPr>
          <w:rFonts w:eastAsia="Times New Roman"/>
          <w:szCs w:val="24"/>
          <w:lang w:eastAsia="pl-PL"/>
        </w:rPr>
        <w:t>Zarządzający realizacją umowy będzie miał zapewniony w dowolnym czasie dostęp do tych miejsc, gdzie są wytwarzane materiały przeznaczone dla realizacji robót.</w:t>
      </w:r>
    </w:p>
    <w:p>
      <w:pPr>
        <w:pStyle w:val="ListParagraph"/>
        <w:numPr>
          <w:ilvl w:val="1"/>
          <w:numId w:val="2"/>
        </w:numPr>
        <w:suppressAutoHyphens w:val="false"/>
        <w:spacing w:lineRule="auto" w:line="276" w:before="0" w:after="0"/>
        <w:ind w:left="426" w:hanging="426"/>
        <w:rPr>
          <w:b/>
          <w:b/>
          <w:szCs w:val="22"/>
          <w:lang w:eastAsia="pl-PL"/>
        </w:rPr>
      </w:pPr>
      <w:r>
        <w:rPr>
          <w:b/>
          <w:szCs w:val="22"/>
          <w:lang w:eastAsia="pl-PL"/>
        </w:rPr>
        <w:t>Atesty materiałów</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 przypadku materiałów, dla których wymagane są atesty, każda partia dostarczona na budowę musi posiadać atest określający w sposób jednoznaczny jej cechy. Przed wykonaniem przez Wykonawcę badań jakości materiałów, zarządzający realizacją umowy może dopuścić do użycia materiały posiadające atest producenta stwierdzający pełną zgodność tych materiałów z warunkami podanymi w szczegółowych specyfikacjach technicznych.</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Produkty przemysłowe muszą posiadać atesty wydane przez producenta, poparte w razie potrzeby wynikami wykonanych przez niego badań. Kopie wyników tych badań muszą być dostarczone przez Wykonawcę Zarządzającemu Realizacją Umowy.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Materiały posiadające atesty, mogą być badane przez Zarządzającego Realizacją Umowy w dowolnym czasie. W przypadku, gdy zostanie stwierdzona niezgodność właściwości przewidzianych do użycia materiałów z wymaganiami zawartymi w szczegółowych specyfikacjach technicznych nie zostaną one przyjęte do wbudowania.</w:t>
      </w:r>
    </w:p>
    <w:p>
      <w:pPr>
        <w:pStyle w:val="ListParagraph"/>
        <w:numPr>
          <w:ilvl w:val="1"/>
          <w:numId w:val="2"/>
        </w:numPr>
        <w:suppressAutoHyphens w:val="false"/>
        <w:spacing w:lineRule="auto" w:line="276" w:before="0" w:after="0"/>
        <w:ind w:left="426" w:hanging="426"/>
        <w:rPr>
          <w:b/>
          <w:b/>
          <w:szCs w:val="22"/>
          <w:lang w:eastAsia="pl-PL"/>
        </w:rPr>
      </w:pPr>
      <w:r>
        <w:rPr>
          <w:b/>
          <w:szCs w:val="22"/>
          <w:lang w:eastAsia="pl-PL"/>
        </w:rPr>
        <w:t>Materiały nieodpowiadające wymaganiom umowy</w:t>
      </w:r>
    </w:p>
    <w:p>
      <w:pPr>
        <w:pStyle w:val="Normal"/>
        <w:suppressAutoHyphens w:val="false"/>
        <w:spacing w:lineRule="auto" w:line="276" w:before="0" w:after="240"/>
        <w:rPr>
          <w:rFonts w:eastAsia="Times New Roman"/>
          <w:color w:val="000000"/>
          <w:szCs w:val="24"/>
          <w:lang w:eastAsia="pl-PL"/>
        </w:rPr>
      </w:pPr>
      <w:r>
        <w:rPr>
          <w:rFonts w:eastAsia="Times New Roman"/>
          <w:color w:val="000000"/>
          <w:szCs w:val="24"/>
          <w:lang w:eastAsia="pl-PL"/>
        </w:rPr>
        <w:t>Materiały uznane przez Zarządzającego realizacją umowy za niezgodne ze szczegółowymi specyfikacjami technicznymi muszą być niezwłocznie usunięte przez Wykonawcę z placu budowy. Jeśli Zarządzający realizacją umowy pozwoli Wykonawcy wykorzystać te materiały do innych robót niż te, dla których zostały one pierwotnie nabyte, wartość tych materiałów może być odpowiednio skorygowana przez Zarządzającego realizacją umowy.</w:t>
      </w:r>
    </w:p>
    <w:p>
      <w:pPr>
        <w:pStyle w:val="Normal"/>
        <w:suppressAutoHyphens w:val="false"/>
        <w:spacing w:lineRule="auto" w:line="276" w:before="0" w:after="240"/>
        <w:rPr>
          <w:rFonts w:eastAsia="Times New Roman"/>
          <w:color w:val="000000"/>
          <w:szCs w:val="24"/>
          <w:lang w:eastAsia="pl-PL"/>
        </w:rPr>
      </w:pPr>
      <w:r>
        <w:rPr>
          <w:rFonts w:eastAsia="Times New Roman"/>
          <w:color w:val="000000"/>
          <w:szCs w:val="24"/>
          <w:lang w:eastAsia="pl-PL"/>
        </w:rPr>
        <w:t>Każdy rodzaj robót wykonywanych z użyciem materiałów, które nie zostały sprawdzone lub zaakceptowane przez Zarządzającego Realizacją Umowy, będzie wykonany na własne ryzyko wykonawcy. Musi on zdawać sobie sprawę, że te roboty mogą być odrzucone tj. zakwalifikowane jako wadliwe i niezapłacone.</w:t>
      </w:r>
    </w:p>
    <w:p>
      <w:pPr>
        <w:pStyle w:val="ListParagraph"/>
        <w:numPr>
          <w:ilvl w:val="1"/>
          <w:numId w:val="2"/>
        </w:numPr>
        <w:suppressAutoHyphens w:val="false"/>
        <w:spacing w:lineRule="auto" w:line="276" w:before="0" w:after="0"/>
        <w:ind w:left="426" w:hanging="426"/>
        <w:rPr>
          <w:b/>
          <w:b/>
          <w:szCs w:val="22"/>
          <w:lang w:eastAsia="pl-PL"/>
        </w:rPr>
      </w:pPr>
      <w:r>
        <w:rPr>
          <w:b/>
          <w:szCs w:val="22"/>
          <w:lang w:eastAsia="pl-PL"/>
        </w:rPr>
        <w:t>Przechowywanie i składowanie materiałów</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 xml:space="preserve">Wykonawca jest zobowiązany zapewnić, żeby materiały składowane na budowie, były zabezpieczone przed uszkodzeniem. Musi utrzymywać ich jakość </w:t>
        <w:br/>
        <w:t>i własności w takim stanie, jaki jest wymagany w chwili wbudowania lub montażu. Muszą one w każdej chwili być dostępne dla przeprowadzenia inspekcji przez Zarządzającego Realizacją Umowy, aż do chwili kiedy zostaną użyte.</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Tymczasowe tereny przeznaczone do składowania materiałów będą zlokalizowane w obrębie placu budowy w miejscach uzgodnionych z zarządzającym realizacją umowy, lub poza placem budowy, w miejscach zapewnionych przez Wykonawcę.</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Zapewni on, że tymczasowo składowane na budowie materiały będą zabezpieczone przed uszkodzeniem.</w:t>
      </w:r>
    </w:p>
    <w:p>
      <w:pPr>
        <w:pStyle w:val="ListParagraph"/>
        <w:numPr>
          <w:ilvl w:val="1"/>
          <w:numId w:val="2"/>
        </w:numPr>
        <w:suppressAutoHyphens w:val="false"/>
        <w:spacing w:lineRule="auto" w:line="276" w:before="0" w:after="0"/>
        <w:ind w:left="0" w:hanging="0"/>
        <w:rPr>
          <w:b/>
          <w:b/>
          <w:sz w:val="18"/>
          <w:szCs w:val="22"/>
          <w:lang w:eastAsia="pl-PL"/>
        </w:rPr>
      </w:pPr>
      <w:r>
        <w:rPr>
          <w:b/>
          <w:szCs w:val="22"/>
          <w:lang w:eastAsia="pl-PL"/>
        </w:rPr>
        <w:t>Stosowanie materiałów zamiennych</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Jeśli Wykonawca zamierza użyć w jakimś szczególnym przypadku materiały zamienne, inne niż przewidziane w projekcie wykonawczym lub szczegółowych specyfikacjach technicznych, poinformuje o takim zamiarze przynajmniej Zarządzającego Realizacją Umowy i Projektanta na 2 tygodnie przed ich użyciem lub wcześniej, jeśli wymagane jest badanie materiału lub urządzenia przez zarządzającego realizacją umowy. Wybrany i zatwierdzony zamienny typ materiału nie może być zmieniany w terminie późniejszym bez akceptacji Zarządzającego realizacją umowy i Autora projektu.</w:t>
      </w:r>
    </w:p>
    <w:p>
      <w:pPr>
        <w:pStyle w:val="Akapit"/>
        <w:numPr>
          <w:ilvl w:val="0"/>
          <w:numId w:val="2"/>
        </w:numPr>
        <w:spacing w:lineRule="auto" w:line="276" w:before="0" w:after="0"/>
        <w:ind w:left="284" w:hanging="284"/>
        <w:rPr>
          <w:lang w:eastAsia="pl-PL"/>
        </w:rPr>
      </w:pPr>
      <w:bookmarkStart w:id="14" w:name="_Toc145681958"/>
      <w:r>
        <w:rPr>
          <w:lang w:eastAsia="pl-PL"/>
        </w:rPr>
        <w:t>SPRZĘT</w:t>
      </w:r>
      <w:bookmarkEnd w:id="14"/>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jest zobowiązany do używania jedynie takiego sprzętu, który nie spowoduje niekorzystnego wpływu na jakość wykonywanych robót i środowisko. Sprzęt używany do robót powinien być zgodny z ofertą wykonawcy oraz powinien odpowiadać pod względem typów i ilości wskazaniom zawartym w szczegółowych specyfikacjach technicznych. Liczba i wydajność sprzętu powinna gwarantować prowadzenie robót zgodnie z terminami przewidzianymi w harmonogramie robót.</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Sprzęt będący własnością Wykonawcy lub wynajęty do wykonania robót musi być utrzymywany w dobrym stanie i gotowości do pracy oraz być zgodny z wymaganiami ochrony środowiska i przepisami dotyczącymi jego użytkowania. Tam gdzie jest to wymagane przepisami, Wykonawca dostarczy Zarządzającemu realizacją umowy kopie dokumentów potwierdzających dopuszczenie sprzętu do użytkowania.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Jeżeli projekt wykonawczy lub szczegółowe specyfikacje techniczne przewidują możliwość wariantowego użycia sprzętu przy wykonywaniu robót, Wykonawca przedstawi wybrany sprzęt do akceptacji przez zarządzającego realizacją umowy. Nie może być później zmieniany bez jego zgody.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Sprzęt, maszyny, urządzenia i narzędzia nie gwarantujące zachowania warunków umowy zostaną przez Zarządzającego realizacją umowy zdyskwalifikowane i nie dopuszczone do robót.</w:t>
      </w:r>
    </w:p>
    <w:p>
      <w:pPr>
        <w:pStyle w:val="Akapit"/>
        <w:numPr>
          <w:ilvl w:val="0"/>
          <w:numId w:val="2"/>
        </w:numPr>
        <w:spacing w:lineRule="auto" w:line="276" w:before="0" w:after="0"/>
        <w:ind w:left="284" w:hanging="284"/>
        <w:rPr/>
      </w:pPr>
      <w:bookmarkStart w:id="15" w:name="_Toc145681959"/>
      <w:r>
        <w:rPr/>
        <w:t>TRANSPORT</w:t>
      </w:r>
      <w:bookmarkEnd w:id="15"/>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 xml:space="preserve">Środki transportowe muszą zapewniać prowadzenie robót zgodnie z zasadami określonymi w projekcie wykonawczym i Szczegółowych Specyfikacjach Technicznych oraz wskazaniami Zarządzającego realizacją umowy, w terminach wynikających z harmonogramu robót. </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Przy ruchu po drogach publicznych pojazdy muszą spełniać wymagania dotyczące przepisów ruchu drogowego, szczególnie w odniesieniu do dopuszczalnych obciążeń na osie i innych parametrów technicznych. Środki transportu nie odpowiadające warunkom umowy, będą usunięte z terenu budowy na polecenie zarządzającego realizacją umowy.</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Wykonawca jest zobowiązany usuwać na bieżąco, na własny koszt, wszelkie uszkodzenia i zanieczyszczenia spowodowane przez jego pojazdy na drogach publicznych oraz dojazdach do terenu budowy.</w:t>
      </w:r>
    </w:p>
    <w:p>
      <w:pPr>
        <w:pStyle w:val="Akapit"/>
        <w:numPr>
          <w:ilvl w:val="0"/>
          <w:numId w:val="2"/>
        </w:numPr>
        <w:spacing w:lineRule="auto" w:line="276" w:before="0" w:after="240"/>
        <w:ind w:left="284" w:hanging="284"/>
        <w:rPr/>
      </w:pPr>
      <w:bookmarkStart w:id="16" w:name="_Toc145681960"/>
      <w:r>
        <w:rPr/>
        <w:t>KONTROLA JAKOŚCI ROBÓT</w:t>
      </w:r>
      <w:bookmarkEnd w:id="16"/>
    </w:p>
    <w:p>
      <w:pPr>
        <w:pStyle w:val="ListParagraph"/>
        <w:numPr>
          <w:ilvl w:val="1"/>
          <w:numId w:val="2"/>
        </w:numPr>
        <w:spacing w:lineRule="auto" w:line="276" w:before="0" w:after="0"/>
        <w:ind w:left="426" w:hanging="426"/>
        <w:rPr>
          <w:b/>
          <w:b/>
        </w:rPr>
      </w:pPr>
      <w:r>
        <w:rPr>
          <w:b/>
        </w:rPr>
        <w:t>Zasady kontroli jakości robót</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jest odpowiedzialny za pełną kontrolę robót i jakości materiałów. Wykonawca zapewni odpowiedni system kontroli, włączając personel, laboratorium, sprzęt, zaopatrzenie i wszelkie urządzenia niezbędne do pobierania próbek i badania materiałów oraz jakości wykonania robót.</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Przed zatwierdzeniem programu zapewnienia jakości zarządzający realizacją umowy może zażądać od wykonawcy przeprowadzenia badań w celu zademonstrowania, że poziom ich wykonania jest zadowalający.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jest zobowiązany prowadzić pomiary i badania materiałów oraz robót z częstotliwością zapewniającą stwierdzenie, że roboty wykonano zgodnie z wymaganiami zawartymi w projekcie wykonawczym i Szczegółowych Specyfikacjach Technicznych. Minimalne wymagania co do zakresu badań i ich częstotliwości są określone w szczegółowych Specyfikacjach Technicznych, normach i wytycznych. W przypadku gdy brak jest wyraźnych przepisów Zarządzający Realizacją Umowy ustali jaki zakres kontroli jest konieczny, aby zapewnić wykonanie robót zgodnie z umową.</w:t>
      </w:r>
    </w:p>
    <w:p>
      <w:pPr>
        <w:pStyle w:val="ListParagraph"/>
        <w:numPr>
          <w:ilvl w:val="1"/>
          <w:numId w:val="2"/>
        </w:numPr>
        <w:suppressAutoHyphens w:val="false"/>
        <w:spacing w:lineRule="auto" w:line="276" w:before="0" w:after="0"/>
        <w:ind w:left="426" w:hanging="426"/>
        <w:rPr>
          <w:b/>
          <w:b/>
        </w:rPr>
      </w:pPr>
      <w:r>
        <w:rPr>
          <w:b/>
        </w:rPr>
        <w:t>Pobieranie próbek</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Próbki do badań będą z zasady pobierane losowo. Zaleca się stosowanie statystycznych metod pobierania próbek, opartych na zasadzie, że wszystkie jednostkowe elementy produkcji mogą być z jednakowym prawdopodobieństwem wytypowane do badań.</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 xml:space="preserve">Zarządzający Realizacją Umowy musi mieć zapewnioną możliwość udziału </w:t>
        <w:br/>
        <w:t>w pobieraniu próbek. Na jego zlecenie wykonawca ma obowiązek przeprowadzać dodatkowe badania tych materiałów, które budzą wątpliwości co do jakości, o ile kwestionowane materiały nie zostaną przez Wykonawcę usunięte lub ulepszone z jego własnej woli. Próbki dostarczone przez Wykonawcę do badań wykonywanych przez Zarządzającego realizacją umowy będą odpowiednio opisane i oznakowane, w sposób zaakceptowany przez niego. Koszty tych dodatkowych badań pokrywa Wykonawca tylko w przypadku stwierdzenia usterek. W przeciwnym przypadku koszty te pokrywa zamawiający.</w:t>
      </w:r>
    </w:p>
    <w:p>
      <w:pPr>
        <w:pStyle w:val="ListParagraph"/>
        <w:numPr>
          <w:ilvl w:val="1"/>
          <w:numId w:val="2"/>
        </w:numPr>
        <w:suppressAutoHyphens w:val="false"/>
        <w:spacing w:lineRule="auto" w:line="276" w:before="0" w:after="0"/>
        <w:ind w:left="426" w:hanging="426"/>
        <w:rPr>
          <w:b/>
          <w:b/>
        </w:rPr>
      </w:pPr>
      <w:r>
        <w:rPr>
          <w:b/>
        </w:rPr>
        <w:t>Badania i pomiary</w:t>
      </w:r>
    </w:p>
    <w:p>
      <w:pPr>
        <w:pStyle w:val="Normal"/>
        <w:suppressAutoHyphens w:val="false"/>
        <w:spacing w:lineRule="auto" w:line="276" w:before="0" w:after="240"/>
        <w:rPr>
          <w:rFonts w:eastAsia="Times New Roman"/>
          <w:color w:val="000000"/>
          <w:szCs w:val="22"/>
          <w:lang w:eastAsia="pl-PL"/>
        </w:rPr>
      </w:pPr>
      <w:r>
        <w:rPr/>
        <w:t>Wszystkie badania i pomiary będą przeprowadzone zgodnie z wymaganiami norm.</w:t>
      </w:r>
      <w:r>
        <w:rPr>
          <w:rFonts w:eastAsia="Times New Roman"/>
          <w:color w:val="000000"/>
          <w:sz w:val="24"/>
          <w:szCs w:val="24"/>
          <w:lang w:eastAsia="pl-PL"/>
        </w:rPr>
        <w:t xml:space="preserve"> </w:t>
      </w:r>
      <w:r>
        <w:rPr>
          <w:rFonts w:eastAsia="Times New Roman"/>
          <w:color w:val="000000"/>
          <w:szCs w:val="22"/>
          <w:lang w:eastAsia="pl-PL"/>
        </w:rPr>
        <w:t>W przypadku, gdy normy nie obejmuj ą jakiegokolwiek badania wymaganego w szczegółowych specyfikacjach technicznych, stosować można wytyczne krajowe albo inne procedury, zaakceptowane przez zarządzającego realizacją umowy.</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Przed przystąpieniem do pomiarów lub badań, Wykonawca powiadomi Zarządzającego realizacją umowy o rodzaju, miejscu i terminie pomiaru lub badania. Po wykonaniu pomiaru lub badania Wykonawca przedstawi na piśmie ich wyniki, do akceptacji Zarządzającego realizacją umowy. Wszystkie koszty związane z organizowaniem i prowadzeniem badań materiałów ponosi Wykonawca.</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Dla celów kontroli jakości i zatwierdzenia, Zarządzający realizacją umowy jest uprawniony do dokonywania kontroli, pobierania próbek i badania materiałów u źródeł ich wytwarzania, a ze strony Wykonawcy i producenta materiałów zapewniona mu będzie wszelka potrzebna do tego pomoc.</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Zarządzający realizacją umowy, po uprzedniej weryfikacji systemu kontroli robót prowadzonego przez wykonawcę, będzie oceniać zgodność wykonanych robót i użytych materiałów z wymaganiami szczegółowych specyfikacji technicznych, na podstawie dostarczonych przez wykonawcę wyników badań.</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Zarządzający Realizacją Umowy może pobierać próbki i prowadzić badania niezależnie od Wykonawcy, na swój koszt. Jeżeli wyniki tych badań wykażą, że raporty Wykonawcy są niewiarygodne, to poleci on Wykonawcy lub zleci niezależnemu laboratorium, przeprowadzenie powtórnych lub dodatkowych badań, albo oprze się wyłącznie na własnych badaniach przy ocenie zgodności materiałów i robót z projektem wykonawczym i Szczegółowymi Specyfikacjami Technicznymi. W takim przypadku całkowite koszty powtórnych lub dodatkowych badań i pobierania próbek zostaną poniesione przez Wykonawcę.</w:t>
      </w:r>
    </w:p>
    <w:p>
      <w:pPr>
        <w:pStyle w:val="ListParagraph"/>
        <w:numPr>
          <w:ilvl w:val="1"/>
          <w:numId w:val="2"/>
        </w:numPr>
        <w:suppressAutoHyphens w:val="false"/>
        <w:spacing w:lineRule="auto" w:line="276" w:before="0" w:after="0"/>
        <w:ind w:left="426" w:hanging="426"/>
        <w:rPr>
          <w:b/>
          <w:b/>
          <w:szCs w:val="22"/>
        </w:rPr>
      </w:pPr>
      <w:r>
        <w:rPr>
          <w:b/>
          <w:szCs w:val="22"/>
        </w:rPr>
        <w:t>Certyfikaty i deklaracje</w:t>
      </w:r>
    </w:p>
    <w:p>
      <w:pPr>
        <w:pStyle w:val="Normal"/>
        <w:suppressAutoHyphens w:val="false"/>
        <w:spacing w:lineRule="auto" w:line="276" w:before="0" w:after="240"/>
        <w:jc w:val="left"/>
        <w:rPr>
          <w:rFonts w:eastAsia="Times New Roman"/>
          <w:szCs w:val="22"/>
          <w:lang w:eastAsia="pl-PL"/>
        </w:rPr>
      </w:pPr>
      <w:r>
        <w:rPr>
          <w:rFonts w:eastAsia="Times New Roman"/>
          <w:szCs w:val="22"/>
          <w:lang w:eastAsia="pl-PL"/>
        </w:rPr>
        <w:t>ZRU może dopuścić do użycia tylko te wyroby i materiały, które:</w:t>
      </w:r>
    </w:p>
    <w:p>
      <w:pPr>
        <w:pStyle w:val="ListParagraph"/>
        <w:numPr>
          <w:ilvl w:val="0"/>
          <w:numId w:val="12"/>
        </w:numPr>
        <w:suppressAutoHyphens w:val="false"/>
        <w:spacing w:lineRule="auto" w:line="276" w:before="0" w:after="0"/>
        <w:ind w:left="284" w:hanging="284"/>
        <w:rPr>
          <w:rFonts w:eastAsia="Times New Roman"/>
          <w:szCs w:val="22"/>
          <w:lang w:eastAsia="pl-PL"/>
        </w:rPr>
      </w:pPr>
      <w:r>
        <w:rPr>
          <w:rFonts w:eastAsia="Times New Roman"/>
          <w:szCs w:val="22"/>
          <w:lang w:eastAsia="pl-PL"/>
        </w:rPr>
        <w:t>Posiadają certyfikat na znak bezpieczeństwa wykazujący, że zapewniono zgodność z kryteriami technicznymi określonymi na podstawie Polskich Norm, aprobat technicznych oraz właściwych przepisów i informacji o ich istnieniu zgodnie z rozporządzeniem MSWiA z 1998 r. (Dz. U. 99/98),</w:t>
      </w:r>
    </w:p>
    <w:p>
      <w:pPr>
        <w:pStyle w:val="ListParagraph"/>
        <w:numPr>
          <w:ilvl w:val="0"/>
          <w:numId w:val="12"/>
        </w:numPr>
        <w:suppressAutoHyphens w:val="false"/>
        <w:spacing w:lineRule="auto" w:line="276" w:before="0" w:after="0"/>
        <w:ind w:left="284" w:hanging="284"/>
        <w:rPr>
          <w:rFonts w:eastAsia="Times New Roman"/>
          <w:szCs w:val="22"/>
          <w:lang w:eastAsia="pl-PL"/>
        </w:rPr>
      </w:pPr>
      <w:r>
        <w:rPr>
          <w:rFonts w:eastAsia="Times New Roman"/>
          <w:szCs w:val="22"/>
          <w:lang w:eastAsia="pl-PL"/>
        </w:rPr>
        <w:t>Posiadają deklarację zgodności lub certyfikat zgodności z:</w:t>
      </w:r>
    </w:p>
    <w:p>
      <w:pPr>
        <w:pStyle w:val="ListParagraph"/>
        <w:numPr>
          <w:ilvl w:val="0"/>
          <w:numId w:val="11"/>
        </w:numPr>
        <w:suppressAutoHyphens w:val="false"/>
        <w:spacing w:lineRule="auto" w:line="276" w:before="0" w:after="0"/>
        <w:ind w:left="567" w:hanging="283"/>
        <w:rPr>
          <w:rFonts w:eastAsia="Times New Roman"/>
          <w:szCs w:val="22"/>
          <w:lang w:eastAsia="pl-PL"/>
        </w:rPr>
      </w:pPr>
      <w:r>
        <w:rPr>
          <w:rFonts w:eastAsia="Times New Roman"/>
          <w:szCs w:val="22"/>
          <w:lang w:eastAsia="pl-PL"/>
        </w:rPr>
        <w:t>Polską Normą lub</w:t>
      </w:r>
    </w:p>
    <w:p>
      <w:pPr>
        <w:pStyle w:val="ListParagraph"/>
        <w:numPr>
          <w:ilvl w:val="0"/>
          <w:numId w:val="11"/>
        </w:numPr>
        <w:suppressAutoHyphens w:val="false"/>
        <w:spacing w:lineRule="auto" w:line="276" w:before="0" w:after="0"/>
        <w:ind w:left="567" w:hanging="283"/>
        <w:rPr>
          <w:rFonts w:eastAsia="Times New Roman"/>
          <w:szCs w:val="22"/>
          <w:lang w:eastAsia="pl-PL"/>
        </w:rPr>
      </w:pPr>
      <w:r>
        <w:rPr>
          <w:rFonts w:eastAsia="Times New Roman"/>
          <w:szCs w:val="22"/>
          <w:lang w:eastAsia="pl-PL"/>
        </w:rPr>
        <w:t>aprobatą techniczną, w przypadku wyrobów, dla których nie ustanowiono Polskiej Normy, jeżeli nie są objęte certyfikacją określoną w pkt. 1 i które spełniają wymogi SST.</w:t>
      </w:r>
    </w:p>
    <w:p>
      <w:pPr>
        <w:pStyle w:val="ListParagraph"/>
        <w:numPr>
          <w:ilvl w:val="0"/>
          <w:numId w:val="12"/>
        </w:numPr>
        <w:suppressAutoHyphens w:val="false"/>
        <w:spacing w:lineRule="auto" w:line="276" w:before="0" w:after="240"/>
        <w:ind w:left="284" w:hanging="284"/>
        <w:rPr>
          <w:rFonts w:eastAsia="Times New Roman"/>
          <w:szCs w:val="22"/>
          <w:lang w:eastAsia="pl-PL"/>
        </w:rPr>
      </w:pPr>
      <w:r>
        <w:rPr>
          <w:rFonts w:eastAsia="Times New Roman"/>
          <w:szCs w:val="22"/>
          <w:lang w:eastAsia="pl-PL"/>
        </w:rPr>
        <w:t>Znajdują się w wykazie wyrobów, o którym mowa w rozporządzeniu MSWiA z 1998 r. (Dz. U. 99/98).</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W przypadku materiałów, dla których w/w dokumenty są wymagane, każda ich partia dostarczona do robót będzie posiadać te dokumenty, określające w sposób jednoznaczny jej cechy. Jakiekolwiek materiały, które nie spełnią tych wymagań będą odrzucone.</w:t>
      </w:r>
    </w:p>
    <w:p>
      <w:pPr>
        <w:pStyle w:val="Normal"/>
        <w:suppressAutoHyphens w:val="false"/>
        <w:spacing w:lineRule="auto" w:line="276" w:before="0" w:after="240"/>
        <w:rPr>
          <w:rFonts w:eastAsia="Times New Roman"/>
          <w:szCs w:val="22"/>
          <w:lang w:eastAsia="pl-PL"/>
        </w:rPr>
      </w:pPr>
      <w:r>
        <w:rPr>
          <w:rFonts w:eastAsia="Times New Roman"/>
          <w:szCs w:val="22"/>
          <w:lang w:eastAsia="pl-PL"/>
        </w:rPr>
      </w:r>
    </w:p>
    <w:p>
      <w:pPr>
        <w:pStyle w:val="Akapit"/>
        <w:numPr>
          <w:ilvl w:val="0"/>
          <w:numId w:val="2"/>
        </w:numPr>
        <w:spacing w:lineRule="auto" w:line="276" w:before="0" w:after="240"/>
        <w:ind w:left="284" w:hanging="284"/>
        <w:rPr/>
      </w:pPr>
      <w:bookmarkStart w:id="17" w:name="_Toc145681961"/>
      <w:r>
        <w:rPr/>
        <w:t>OBMIARY ROBÓT</w:t>
      </w:r>
      <w:bookmarkEnd w:id="17"/>
    </w:p>
    <w:p>
      <w:pPr>
        <w:pStyle w:val="ListParagraph"/>
        <w:numPr>
          <w:ilvl w:val="1"/>
          <w:numId w:val="2"/>
        </w:numPr>
        <w:spacing w:lineRule="auto" w:line="276" w:before="0" w:after="0"/>
        <w:ind w:left="426" w:hanging="426"/>
        <w:rPr>
          <w:b/>
          <w:b/>
        </w:rPr>
      </w:pPr>
      <w:r>
        <w:rPr>
          <w:b/>
        </w:rPr>
        <w:t>Ogólne zasady obmiaru robót</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Obmiar robót ma za zadanie określać faktyczny zakres wykonanych robót wg stanu na dzień jego przeprowadzenia. Roboty można uznać za wykonane pod warunkiem, że wykonano je zgodnie z wymaganiami zawartymi w projekcie wykonawczym i szczegółowych specyfikacjach technicznych, a ich ilość podaje się w jednostkach ustalonych w wycenionym przedmiarze robót wchodzącym w skład umowy.</w:t>
      </w:r>
    </w:p>
    <w:p>
      <w:pPr>
        <w:pStyle w:val="Normal"/>
        <w:suppressAutoHyphens w:val="false"/>
        <w:spacing w:lineRule="auto" w:line="276" w:before="0" w:after="240"/>
        <w:rPr>
          <w:rFonts w:eastAsia="Times New Roman"/>
          <w:b/>
          <w:b/>
          <w:szCs w:val="24"/>
          <w:lang w:eastAsia="pl-PL"/>
        </w:rPr>
      </w:pPr>
      <w:r>
        <w:rPr>
          <w:rFonts w:eastAsia="Times New Roman"/>
          <w:b/>
          <w:szCs w:val="24"/>
          <w:lang w:eastAsia="pl-PL"/>
        </w:rPr>
        <w:t>Uwaga!</w:t>
      </w:r>
    </w:p>
    <w:p>
      <w:pPr>
        <w:pStyle w:val="Normal"/>
        <w:suppressAutoHyphens w:val="false"/>
        <w:spacing w:lineRule="auto" w:line="276" w:before="0" w:after="240"/>
        <w:rPr>
          <w:rFonts w:eastAsia="Times New Roman"/>
          <w:b/>
          <w:b/>
          <w:bCs/>
          <w:color w:val="000000"/>
          <w:szCs w:val="22"/>
          <w:lang w:eastAsia="pl-PL"/>
        </w:rPr>
      </w:pPr>
      <w:r>
        <w:rPr>
          <w:rFonts w:eastAsia="Times New Roman"/>
          <w:color w:val="000000"/>
          <w:szCs w:val="22"/>
          <w:lang w:eastAsia="pl-PL"/>
        </w:rPr>
        <w:t xml:space="preserve">Zamawiający nie uzna obmiaru robót wykonanych niezgodnie z dokumentacją lub zasadami ich przedmiarowania. Zamawiający nie ponosi żadnej odpowiedzialności finansowej w przypadku wykonania większej ilości wykopów niż przewidzianych w przedmiarach jak również za skutki związane z ich uzupełnieniem zasypkami. Zamawiający nie ponosi również żadnej odpowiedzialności finansowej za większą od przyjętej w przedmiarach ilość rusztowań lub czas pracy rusztowań. </w:t>
      </w:r>
      <w:r>
        <w:rPr>
          <w:rFonts w:eastAsia="Times New Roman"/>
          <w:b/>
          <w:bCs/>
          <w:color w:val="000000"/>
          <w:szCs w:val="22"/>
          <w:lang w:eastAsia="pl-PL"/>
        </w:rPr>
        <w:t>W przypadku stwierdzenia przez Wykonawcę, że ilości robót podstawowych, tymczasowych lub towarzyszących i są niewystarczające od przyjętych przez projektanta w przedmiarach, Wykonawca uwzględni w cenie jednostkowej danej pozycji swą indywidualną potrzebę ich wykonania w zwiększonej ilości.</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 xml:space="preserve">Obmiaru robót dokonuje Wykonawca po pisemnym powiadomieniu Zarządzającego Realizacją Umowy o zakresie i terminie obmiaru. Powiadomienie powinno poprzedzać obmiar co najmniej o 3 dni. Wyniki obmiaru są wpisywane do księgi obmiaru i zatwierdzane przez Inspektora nadzoru inwestorskiego. Jakikolwiek błąd lub przeoczenie (opuszczenie) w ilościach podanych w przedmiarze robót lub gdzie indziej w szczegółowych specyfikacjach technicznych nie zwalnia Wykonawcy od obowiązku wykonania wszystkich robót. Błędne dane zostaną poprawione wg pisemnej instrukcji zarządzającego realizacją umowy. </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Długości i odległości pomiędzy określonymi punktami skrajnymi będą mierzone poziomo (w rzucie) wzdłuż linii osiowej. Jeżeli Szczegółowe Specyfikacje Techniczne właściwe dla danych robót nie wymagają tego inaczej, to objętości będą wyliczane w m3, jako długość pomnożona przez średni przekrój. Ilości, które mają być mierzone wagowo, będą wyrażone w tonach lub kilogramach.</w:t>
      </w:r>
    </w:p>
    <w:p>
      <w:pPr>
        <w:pStyle w:val="ListParagraph"/>
        <w:numPr>
          <w:ilvl w:val="1"/>
          <w:numId w:val="2"/>
        </w:numPr>
        <w:suppressAutoHyphens w:val="false"/>
        <w:spacing w:lineRule="auto" w:line="276" w:before="0" w:after="0"/>
        <w:ind w:left="426" w:hanging="426"/>
        <w:rPr>
          <w:b/>
          <w:b/>
          <w:szCs w:val="22"/>
        </w:rPr>
      </w:pPr>
      <w:r>
        <w:rPr>
          <w:b/>
          <w:szCs w:val="22"/>
        </w:rPr>
        <w:t>Urządzenia i sprzęt pomiarowy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Wszystkie urządzenia i sprzęt pomiarowy, stosowane w czasie dokonywania obmiaru robót i dostarczone przez Wykonawcę, muszą być zaakceptowane przez Zarządzającego realizacją umowy. Jeżeli urządzenia te lub sprzęt wymagają badań atestujących, to Wykonawca musi posiadać ważne świadectwa legalizacji. Muszą one być utrzymywane przez Wykonawcę w dobrym stanie, w całym okresie trwania Robót.</w:t>
      </w:r>
    </w:p>
    <w:p>
      <w:pPr>
        <w:pStyle w:val="ListParagraph"/>
        <w:numPr>
          <w:ilvl w:val="1"/>
          <w:numId w:val="2"/>
        </w:numPr>
        <w:suppressAutoHyphens w:val="false"/>
        <w:spacing w:lineRule="auto" w:line="276" w:before="0" w:after="0"/>
        <w:ind w:left="426" w:hanging="426"/>
        <w:rPr>
          <w:b/>
          <w:b/>
          <w:szCs w:val="22"/>
        </w:rPr>
      </w:pPr>
      <w:r>
        <w:rPr>
          <w:b/>
          <w:szCs w:val="22"/>
        </w:rPr>
        <w:t>Czas przeprowadzania obmiaru</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Obmiar gotowych robót będzie przeprowadzany z częstotliwością i terminach wymaganych w celu dokonywania miesięcznych płatności na rzecz Wykonawcy, lub w innym czasie, określonym w umowie lub uzgodnionym przez Wykonawcę i Zarządzającego Realizacją Umowy.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 xml:space="preserve">Obmiary będą także przeprowadzone przed częściowym i końcowym odbiorem robót, a także </w:t>
      </w:r>
      <w:r>
        <w:rPr/>
        <w:t>w przypadku</w:t>
      </w:r>
      <w:r>
        <w:rPr>
          <w:rFonts w:eastAsia="Times New Roman"/>
          <w:szCs w:val="24"/>
          <w:lang w:eastAsia="pl-PL"/>
        </w:rPr>
        <w:t xml:space="preserve"> wystąpienia dłuższej przerwy w robotach lub zmiany Wykonawcy. Obmiar robót zanikających i podlegających zakryciu przeprowadza się bezpośrednio po ich wykonywaniu, lecz przed zakryciem.</w:t>
      </w:r>
    </w:p>
    <w:p>
      <w:pPr>
        <w:pStyle w:val="Akapit"/>
        <w:numPr>
          <w:ilvl w:val="0"/>
          <w:numId w:val="2"/>
        </w:numPr>
        <w:spacing w:lineRule="auto" w:line="276" w:before="0" w:after="0"/>
        <w:ind w:left="284" w:hanging="284"/>
        <w:rPr/>
      </w:pPr>
      <w:bookmarkStart w:id="18" w:name="_Toc145681962"/>
      <w:r>
        <w:rPr/>
        <w:t>ODBIORY ROBÓT I PODSTAWY PŁATNOŚCI</w:t>
      </w:r>
      <w:bookmarkEnd w:id="18"/>
    </w:p>
    <w:p>
      <w:pPr>
        <w:pStyle w:val="Normal"/>
        <w:suppressAutoHyphens w:val="false"/>
        <w:spacing w:lineRule="auto" w:line="276" w:before="0" w:after="240"/>
        <w:rPr>
          <w:rFonts w:eastAsia="Times New Roman"/>
          <w:szCs w:val="24"/>
          <w:lang w:eastAsia="pl-PL"/>
        </w:rPr>
      </w:pPr>
      <w:r>
        <w:rPr>
          <w:rFonts w:eastAsia="Times New Roman"/>
          <w:szCs w:val="24"/>
          <w:lang w:eastAsia="pl-PL"/>
        </w:rPr>
        <w:t>Zasady odbiorów robót i płatności za ich wykonanie określa umowa.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uwzględni w cenie jednostkowej pozycji podstawowych wszystkie koszty robót tymczasowych jak również koszty robót towarzyszących niezbędnych do wykonania i odbioru robót podstawowych. Wykonawca powinien przewidzieć w cenie jednostkowej robót podstawowych koszty związane z odbiorem inwestycji przez jednostki Sanepid, Powiatowej Straży Pożarnej, Inspekcję Pracy i Jednostkę Nadzoru Budowlanego. Uwzględnić powinien również koszty oznakowania i wyposażenia p-pożarowego.</w:t>
      </w:r>
    </w:p>
    <w:p>
      <w:pPr>
        <w:pStyle w:val="Akapit"/>
        <w:numPr>
          <w:ilvl w:val="0"/>
          <w:numId w:val="2"/>
        </w:numPr>
        <w:spacing w:lineRule="auto" w:line="276" w:before="0" w:after="240"/>
        <w:ind w:left="426" w:hanging="426"/>
        <w:rPr/>
      </w:pPr>
      <w:bookmarkStart w:id="19" w:name="_Toc145681963"/>
      <w:r>
        <w:rPr/>
        <w:t>PRZEPISY ZWIĄZANE</w:t>
      </w:r>
      <w:bookmarkEnd w:id="19"/>
    </w:p>
    <w:p>
      <w:pPr>
        <w:pStyle w:val="ListParagraph"/>
        <w:numPr>
          <w:ilvl w:val="1"/>
          <w:numId w:val="2"/>
        </w:numPr>
        <w:spacing w:lineRule="auto" w:line="276" w:before="0" w:after="0"/>
        <w:ind w:left="567" w:hanging="567"/>
        <w:rPr>
          <w:b/>
          <w:b/>
        </w:rPr>
      </w:pPr>
      <w:r>
        <w:rPr>
          <w:b/>
        </w:rPr>
        <w:t>Normy i normatywy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Wszystkie roboty należy wykonywać zgodnie z obowiązującymi normami i normatywami. Wszystkie najważniejsze przepisy i normy dotyczące danego asortymentu robót są wyszczególnione w punkcie 9 każdej szczegółowej specyfikacji technicznej.</w:t>
      </w:r>
    </w:p>
    <w:p>
      <w:pPr>
        <w:pStyle w:val="ListParagraph"/>
        <w:numPr>
          <w:ilvl w:val="1"/>
          <w:numId w:val="2"/>
        </w:numPr>
        <w:suppressAutoHyphens w:val="false"/>
        <w:spacing w:lineRule="auto" w:line="276" w:before="0" w:after="0"/>
        <w:ind w:left="567" w:hanging="567"/>
        <w:rPr>
          <w:b/>
          <w:b/>
          <w:szCs w:val="22"/>
        </w:rPr>
      </w:pPr>
      <w:r>
        <w:rPr>
          <w:b/>
          <w:szCs w:val="22"/>
        </w:rPr>
        <w:t>Przepisy prawne</w:t>
      </w:r>
    </w:p>
    <w:p>
      <w:pPr>
        <w:pStyle w:val="ListParagraph"/>
        <w:numPr>
          <w:ilvl w:val="0"/>
          <w:numId w:val="13"/>
        </w:numPr>
        <w:suppressAutoHyphens w:val="false"/>
        <w:spacing w:lineRule="auto" w:line="276" w:before="0" w:after="0"/>
        <w:ind w:left="142" w:hanging="142"/>
        <w:rPr>
          <w:rFonts w:eastAsia="Times New Roman"/>
          <w:szCs w:val="24"/>
          <w:lang w:eastAsia="pl-PL"/>
        </w:rPr>
      </w:pPr>
      <w:r>
        <w:rPr>
          <w:rFonts w:eastAsia="Times New Roman"/>
          <w:szCs w:val="24"/>
          <w:lang w:eastAsia="pl-PL"/>
        </w:rPr>
        <w:t>Ustawa Prawo budowlane z dnia 7 lipca 1994 r. (Dz. U. 1994 nr 89 poz. 414) z późniejszymi zmianami.</w:t>
      </w:r>
    </w:p>
    <w:p>
      <w:pPr>
        <w:pStyle w:val="ListParagraph"/>
        <w:numPr>
          <w:ilvl w:val="0"/>
          <w:numId w:val="13"/>
        </w:numPr>
        <w:suppressAutoHyphens w:val="false"/>
        <w:spacing w:lineRule="auto" w:line="276" w:before="0" w:after="0"/>
        <w:ind w:left="142" w:hanging="142"/>
        <w:rPr>
          <w:rFonts w:eastAsia="Times New Roman"/>
          <w:szCs w:val="24"/>
          <w:lang w:eastAsia="pl-PL"/>
        </w:rPr>
      </w:pPr>
      <w:r>
        <w:rPr>
          <w:rFonts w:eastAsia="Times New Roman"/>
          <w:szCs w:val="24"/>
          <w:lang w:eastAsia="pl-PL"/>
        </w:rPr>
        <w:t>Ustawa o wyrobach budowlanych z dnia 16 kwietnia 2004 r.(Dz. U. nr 92 poz.881)</w:t>
      </w:r>
    </w:p>
    <w:p>
      <w:pPr>
        <w:pStyle w:val="ListParagraph"/>
        <w:numPr>
          <w:ilvl w:val="0"/>
          <w:numId w:val="13"/>
        </w:numPr>
        <w:suppressAutoHyphens w:val="false"/>
        <w:spacing w:lineRule="auto" w:line="276" w:before="0" w:after="0"/>
        <w:ind w:left="142" w:hanging="142"/>
        <w:rPr>
          <w:rFonts w:eastAsia="Times New Roman"/>
          <w:szCs w:val="24"/>
          <w:lang w:eastAsia="pl-PL"/>
        </w:rPr>
      </w:pPr>
      <w:r>
        <w:rPr>
          <w:rFonts w:eastAsia="Times New Roman"/>
          <w:szCs w:val="24"/>
          <w:lang w:eastAsia="pl-PL"/>
        </w:rPr>
        <w:t>Ustawa o planowaniu i zagospodarowaniu przestrzennym z dnia 27 marca 2003 r. (Dz. U. Nr 80/2003) wraz z późniejszymi zmianami.</w:t>
      </w:r>
    </w:p>
    <w:p>
      <w:pPr>
        <w:pStyle w:val="ListParagraph"/>
        <w:numPr>
          <w:ilvl w:val="0"/>
          <w:numId w:val="13"/>
        </w:numPr>
        <w:suppressAutoHyphens w:val="false"/>
        <w:spacing w:lineRule="auto" w:line="276" w:before="0" w:after="0"/>
        <w:ind w:left="142" w:hanging="142"/>
        <w:rPr>
          <w:rFonts w:eastAsia="Times New Roman"/>
          <w:szCs w:val="24"/>
          <w:lang w:eastAsia="pl-PL"/>
        </w:rPr>
      </w:pPr>
      <w:r>
        <w:rPr>
          <w:rFonts w:eastAsia="Times New Roman"/>
          <w:szCs w:val="24"/>
          <w:lang w:eastAsia="pl-PL"/>
        </w:rPr>
        <w:t>Ustawa o dostępie do informacji o środowisku i jego ochronie oraz o ocenach oddziaływania na środowisko z dnia 9 listopada 2000 r. (DZ.U. Nr 109/2000 póz. 1157)</w:t>
      </w:r>
    </w:p>
    <w:p>
      <w:pPr>
        <w:pStyle w:val="ListParagraph"/>
        <w:numPr>
          <w:ilvl w:val="0"/>
          <w:numId w:val="13"/>
        </w:numPr>
        <w:suppressAutoHyphens w:val="false"/>
        <w:spacing w:lineRule="auto" w:line="276" w:before="0" w:after="240"/>
        <w:ind w:left="142" w:hanging="142"/>
        <w:rPr>
          <w:sz w:val="18"/>
        </w:rPr>
      </w:pPr>
      <w:r>
        <w:rPr>
          <w:rFonts w:eastAsia="Times New Roman"/>
          <w:szCs w:val="24"/>
          <w:lang w:eastAsia="pl-PL"/>
        </w:rPr>
        <w:t>Ustawa Prawo geodezyjne i kartograficzne z dnia 17.05.1989 r. (Dz. U. Nr 30/1989 poz.163) wraz z późniejszymi zmianami.</w:t>
      </w:r>
    </w:p>
    <w:p>
      <w:pPr>
        <w:pStyle w:val="Normal"/>
        <w:suppressAutoHyphens w:val="false"/>
        <w:spacing w:lineRule="auto" w:line="276" w:before="0" w:after="240"/>
        <w:rPr>
          <w:rFonts w:eastAsia="Times New Roman"/>
          <w:b/>
          <w:b/>
          <w:szCs w:val="24"/>
          <w:lang w:eastAsia="pl-PL"/>
        </w:rPr>
      </w:pPr>
      <w:r>
        <w:rPr>
          <w:rFonts w:eastAsia="Times New Roman"/>
          <w:b/>
          <w:szCs w:val="24"/>
          <w:lang w:eastAsia="pl-PL"/>
        </w:rPr>
        <w:t>Uwaga!</w:t>
      </w:r>
    </w:p>
    <w:p>
      <w:pPr>
        <w:pStyle w:val="Normal"/>
        <w:suppressAutoHyphens w:val="false"/>
        <w:spacing w:lineRule="auto" w:line="276" w:before="0" w:after="240"/>
        <w:rPr>
          <w:rFonts w:eastAsia="Times New Roman"/>
          <w:b/>
          <w:b/>
          <w:bCs/>
          <w:szCs w:val="22"/>
          <w:lang w:eastAsia="pl-PL"/>
        </w:rPr>
      </w:pPr>
      <w:r>
        <w:rPr>
          <w:rFonts w:eastAsia="Times New Roman"/>
          <w:szCs w:val="22"/>
          <w:lang w:eastAsia="pl-PL"/>
        </w:rPr>
        <w:t xml:space="preserve">W niniejszej dokumentacji dotyczącej wyżej wymienionej budowy w skład której wchodzi projekt techniczno-wykonawczy, specyfikacje techniczne wykonania i odbioru robót budowlanych, przedmiary robót i kosztorysy inwestorskie - jeśli podane zostały nazwy i producenci materiałów, technologii i urządzeń - to podane zostały one jedynie jako przykładowe, w celu określenia parametrów technicznych i innych wymogów jakie spełnione być muszą, by mogły być użyte w czasie realizacji zadania inwestycyjnego. </w:t>
      </w:r>
      <w:r>
        <w:rPr>
          <w:rFonts w:eastAsia="Times New Roman"/>
          <w:b/>
          <w:bCs/>
          <w:szCs w:val="22"/>
          <w:lang w:eastAsia="pl-PL"/>
        </w:rPr>
        <w:t>Dopuszcza się jednak stosowanie innych równoważnych materiałów, technologii i urządzeń o ile zachowane zostaną ich parametry w stosunku do przyjętych w dokumentacji.</w:t>
      </w:r>
      <w:r>
        <w:br w:type="page"/>
      </w:r>
    </w:p>
    <w:p>
      <w:pPr>
        <w:pStyle w:val="NRST"/>
        <w:jc w:val="left"/>
        <w:rPr/>
      </w:pPr>
      <w:r>
        <w:rPr/>
        <w:t xml:space="preserve">B.01.00.00 ROBOTY </w:t>
      </w:r>
      <w:r>
        <w:rPr>
          <w:rFonts w:eastAsia="Times New Roman" w:cs="CG Times;Times New Roman" w:ascii="Times New;Times New Roman" w:hAnsi="Times New;Times New Roman"/>
          <w:b/>
          <w:smallCaps/>
          <w:color w:val="000000"/>
          <w:sz w:val="32"/>
          <w:szCs w:val="32"/>
        </w:rPr>
        <w:t>ROZBIÓRKOWE</w:t>
        <w:br/>
      </w:r>
      <w:r>
        <w:rPr>
          <w:rFonts w:eastAsia="Times New Roman" w:cs="CG Times;Times New Roman" w:ascii="Times New;Times New Roman" w:hAnsi="Times New;Times New Roman"/>
          <w:b/>
          <w:smallCaps/>
          <w:color w:val="000000"/>
          <w:sz w:val="32"/>
          <w:szCs w:val="32"/>
        </w:rPr>
        <w:t>KOD CPV: 45111300-1  Roboty rozbiórkowe</w:t>
      </w:r>
    </w:p>
    <w:p>
      <w:pPr>
        <w:pStyle w:val="Nagwek1"/>
        <w:rPr/>
      </w:pPr>
      <w:r>
        <w:rPr/>
        <w:t>1. Wstęp</w:t>
      </w:r>
    </w:p>
    <w:p>
      <w:pPr>
        <w:pStyle w:val="Z11"/>
        <w:widowControl/>
        <w:numPr>
          <w:ilvl w:val="0"/>
          <w:numId w:val="0"/>
        </w:numPr>
        <w:spacing w:lineRule="auto" w:line="360"/>
        <w:outlineLvl w:val="0"/>
        <w:rPr>
          <w:color w:val="000000"/>
          <w:sz w:val="22"/>
        </w:rPr>
      </w:pPr>
      <w:r>
        <w:rPr>
          <w:color w:val="000000"/>
          <w:sz w:val="22"/>
        </w:rPr>
        <w:t>1.1. Przedmiot SST</w:t>
      </w:r>
    </w:p>
    <w:p>
      <w:pPr>
        <w:pStyle w:val="Znormal"/>
        <w:widowControl/>
        <w:rPr/>
      </w:pPr>
      <w:r>
        <w:rPr/>
        <w:t>Przedmiotem niniejszej szczegółowej specyfikacji technicznej są wymagania dotyczące wykonania i odbioru robót rozbiórkowych dla zadania pn.:</w:t>
      </w:r>
    </w:p>
    <w:p>
      <w:pPr>
        <w:pStyle w:val="Znormal"/>
        <w:widowControl/>
        <w:rPr>
          <w:rFonts w:ascii="Times New Roman" w:hAnsi="Times New Roman" w:eastAsia="Times New Roman" w:cs="Times New Roman"/>
          <w:color w:val="000000"/>
          <w:sz w:val="22"/>
          <w:szCs w:val="23"/>
          <w:lang w:val="pl-PL" w:bidi="ar-SA"/>
        </w:rPr>
      </w:pPr>
      <w:r>
        <w:rPr>
          <w:rFonts w:eastAsia="Times New Roman" w:cs="Times New Roman"/>
          <w:color w:val="000000"/>
          <w:sz w:val="22"/>
          <w:szCs w:val="23"/>
          <w:lang w:val="pl-PL" w:bidi="ar-SA"/>
        </w:rPr>
        <w:t>„</w:t>
      </w:r>
      <w:r>
        <w:rPr>
          <w:rFonts w:eastAsia="Times New Roman" w:cs="Times New Roman"/>
          <w:color w:val="000000"/>
          <w:sz w:val="22"/>
          <w:szCs w:val="23"/>
          <w:lang w:val="pl-PL" w:bidi="ar-SA"/>
        </w:rPr>
        <w:t>Przebudowa budynku garażowo-magazynowego wraz z zagospodarowaniem terenu, infrastrukturą techniczną oraz rozbiórką zbiorników wodnych na działce nr ewid. 868/2 i części działki nr ewid. 857/41, obręb 0001, w Andrychowie”</w:t>
      </w:r>
    </w:p>
    <w:p>
      <w:pPr>
        <w:pStyle w:val="Z11"/>
        <w:widowControl/>
        <w:numPr>
          <w:ilvl w:val="0"/>
          <w:numId w:val="0"/>
        </w:numPr>
        <w:spacing w:lineRule="auto" w:line="360"/>
        <w:outlineLvl w:val="0"/>
        <w:rPr>
          <w:color w:val="000000"/>
          <w:sz w:val="22"/>
        </w:rPr>
      </w:pPr>
      <w:r>
        <w:rPr>
          <w:color w:val="000000"/>
          <w:sz w:val="22"/>
        </w:rPr>
        <w:t>1.2. Zakres stosowania SST</w:t>
      </w:r>
    </w:p>
    <w:p>
      <w:pPr>
        <w:pStyle w:val="Znormal"/>
        <w:widowControl/>
        <w:rPr>
          <w:color w:val="000000"/>
        </w:rPr>
      </w:pPr>
      <w:r>
        <w:rPr>
          <w:color w:val="000000"/>
        </w:rPr>
        <w:t>Szczegółowa specyfikacja techniczna jest stosowana jako dokument przetargowy i kontraktowy przy zlecaniu i realizacji robót wymienionych w pkt. 1.1.</w:t>
      </w:r>
    </w:p>
    <w:p>
      <w:pPr>
        <w:pStyle w:val="Z11"/>
        <w:widowControl/>
        <w:numPr>
          <w:ilvl w:val="0"/>
          <w:numId w:val="0"/>
        </w:numPr>
        <w:spacing w:lineRule="auto" w:line="360"/>
        <w:outlineLvl w:val="0"/>
        <w:rPr>
          <w:color w:val="000000"/>
          <w:sz w:val="22"/>
        </w:rPr>
      </w:pPr>
      <w:r>
        <w:rPr>
          <w:color w:val="000000"/>
          <w:sz w:val="22"/>
        </w:rPr>
        <w:t>1.3. Zakres robót objętych SST</w:t>
      </w:r>
    </w:p>
    <w:p>
      <w:pPr>
        <w:pStyle w:val="Normal"/>
        <w:widowControl/>
        <w:ind w:left="397" w:right="0" w:hanging="0"/>
        <w:rPr>
          <w:color w:val="000000"/>
          <w:szCs w:val="19"/>
        </w:rPr>
      </w:pPr>
      <w:r>
        <w:rPr>
          <w:color w:val="000000"/>
          <w:szCs w:val="19"/>
        </w:rPr>
        <w:t>Roboty, których dotyczy specyfikacja obejmują wszystkie czynności umożliwiające i mające na celu wykonanie rozbiórek występujących w obiekcie.</w:t>
      </w:r>
    </w:p>
    <w:p>
      <w:pPr>
        <w:pStyle w:val="Normal"/>
        <w:widowControl/>
        <w:ind w:left="397" w:right="0" w:hanging="0"/>
        <w:rPr>
          <w:color w:val="000000"/>
          <w:szCs w:val="19"/>
        </w:rPr>
      </w:pPr>
      <w:r>
        <w:rPr>
          <w:color w:val="000000"/>
          <w:szCs w:val="19"/>
        </w:rPr>
        <w:t>W zakres tych robót wchodzą:</w:t>
      </w:r>
    </w:p>
    <w:p>
      <w:pPr>
        <w:pStyle w:val="Normal"/>
        <w:widowControl/>
        <w:ind w:left="397" w:right="0" w:hanging="0"/>
        <w:rPr>
          <w:color w:val="000000"/>
          <w:szCs w:val="19"/>
        </w:rPr>
      </w:pPr>
      <w:r>
        <w:rPr>
          <w:color w:val="000000"/>
          <w:szCs w:val="19"/>
        </w:rPr>
        <w:t>B.01.01.00. – Rozbiórki</w:t>
      </w:r>
    </w:p>
    <w:p>
      <w:pPr>
        <w:pStyle w:val="Normal"/>
        <w:widowControl/>
        <w:numPr>
          <w:ilvl w:val="0"/>
          <w:numId w:val="0"/>
        </w:numPr>
        <w:ind w:left="397" w:right="0" w:hanging="0"/>
        <w:outlineLvl w:val="0"/>
        <w:rPr>
          <w:color w:val="000000"/>
          <w:szCs w:val="19"/>
        </w:rPr>
      </w:pPr>
      <w:r>
        <w:rPr>
          <w:color w:val="000000"/>
          <w:szCs w:val="19"/>
        </w:rPr>
        <w:t>B.01.01.01. – Rozbiórki obiektów kubaturowych</w:t>
      </w:r>
    </w:p>
    <w:p>
      <w:pPr>
        <w:pStyle w:val="Normal"/>
        <w:widowControl/>
        <w:ind w:left="397" w:right="0" w:hanging="0"/>
        <w:rPr>
          <w:color w:val="000000"/>
          <w:szCs w:val="19"/>
        </w:rPr>
      </w:pPr>
      <w:r>
        <w:rPr>
          <w:color w:val="000000"/>
          <w:szCs w:val="19"/>
        </w:rPr>
        <w:t>B.01.01.02. – Rozbiórki obiektów inżynierskich</w:t>
      </w:r>
    </w:p>
    <w:p>
      <w:pPr>
        <w:pStyle w:val="Normal"/>
        <w:widowControl/>
        <w:numPr>
          <w:ilvl w:val="0"/>
          <w:numId w:val="0"/>
        </w:numPr>
        <w:ind w:left="397" w:right="0" w:hanging="0"/>
        <w:outlineLvl w:val="0"/>
        <w:rPr>
          <w:color w:val="000000"/>
          <w:szCs w:val="19"/>
        </w:rPr>
      </w:pPr>
      <w:r>
        <w:rPr>
          <w:color w:val="000000"/>
          <w:szCs w:val="19"/>
        </w:rPr>
        <w:t>B.01.01.03. – Rozbiórki ogrodzeń</w:t>
      </w:r>
    </w:p>
    <w:p>
      <w:pPr>
        <w:pStyle w:val="Z11"/>
        <w:widowControl/>
        <w:numPr>
          <w:ilvl w:val="0"/>
          <w:numId w:val="0"/>
        </w:numPr>
        <w:spacing w:lineRule="auto" w:line="360"/>
        <w:outlineLvl w:val="0"/>
        <w:rPr>
          <w:color w:val="000000"/>
          <w:sz w:val="22"/>
        </w:rPr>
      </w:pPr>
      <w:r>
        <w:rPr>
          <w:color w:val="000000"/>
          <w:sz w:val="22"/>
        </w:rPr>
        <w:t>1.4. Określenia podstawowe</w:t>
      </w:r>
    </w:p>
    <w:p>
      <w:pPr>
        <w:pStyle w:val="Normal"/>
        <w:widowControl/>
        <w:ind w:left="397" w:right="0" w:hanging="0"/>
        <w:rPr>
          <w:color w:val="000000"/>
          <w:szCs w:val="19"/>
        </w:rPr>
      </w:pPr>
      <w:r>
        <w:rPr>
          <w:color w:val="000000"/>
          <w:szCs w:val="19"/>
        </w:rPr>
        <w:t>Określenia podane w niniejszej SST są zgodne z obowiązującymi odpowiednimi normami i wytycznymi.</w:t>
      </w:r>
    </w:p>
    <w:p>
      <w:pPr>
        <w:pStyle w:val="Z11"/>
        <w:widowControl/>
        <w:numPr>
          <w:ilvl w:val="0"/>
          <w:numId w:val="0"/>
        </w:numPr>
        <w:spacing w:lineRule="auto" w:line="360"/>
        <w:outlineLvl w:val="0"/>
        <w:rPr>
          <w:color w:val="000000"/>
          <w:sz w:val="22"/>
        </w:rPr>
      </w:pPr>
      <w:r>
        <w:rPr>
          <w:color w:val="000000"/>
          <w:sz w:val="22"/>
        </w:rPr>
        <w:t>1.5. Ogólne wymagania dotyczące robót</w:t>
      </w:r>
    </w:p>
    <w:p>
      <w:pPr>
        <w:pStyle w:val="Normal"/>
        <w:widowControl/>
        <w:ind w:left="397" w:right="0" w:hanging="0"/>
        <w:rPr>
          <w:color w:val="000000"/>
          <w:szCs w:val="19"/>
        </w:rPr>
      </w:pPr>
      <w:r>
        <w:rPr>
          <w:color w:val="000000"/>
          <w:szCs w:val="19"/>
        </w:rPr>
        <w:t>Wykonawca robót jest odpowiedzialny za jakość wykonania robót, ich zgodność z dokumentacją projektową, SST i poleceniami Inżyniera.</w:t>
      </w:r>
    </w:p>
    <w:p>
      <w:pPr>
        <w:pStyle w:val="Nagwek1"/>
        <w:rPr/>
      </w:pPr>
      <w:r>
        <w:rPr/>
        <w:t>2. Materiały</w:t>
      </w:r>
    </w:p>
    <w:p>
      <w:pPr>
        <w:pStyle w:val="Z11"/>
        <w:widowControl/>
        <w:numPr>
          <w:ilvl w:val="0"/>
          <w:numId w:val="0"/>
        </w:numPr>
        <w:spacing w:lineRule="auto" w:line="360"/>
        <w:outlineLvl w:val="0"/>
        <w:rPr>
          <w:color w:val="000000"/>
          <w:sz w:val="22"/>
        </w:rPr>
      </w:pPr>
      <w:r>
        <w:rPr>
          <w:color w:val="000000"/>
          <w:sz w:val="22"/>
        </w:rPr>
        <w:t>2.1. Dla robót wg B.01.01.00 materiały nie występują.</w:t>
      </w:r>
    </w:p>
    <w:p>
      <w:pPr>
        <w:pStyle w:val="Nagwek1"/>
        <w:rPr/>
      </w:pPr>
      <w:r>
        <w:rPr/>
        <w:t>3. Sprzęt</w:t>
      </w:r>
    </w:p>
    <w:p>
      <w:pPr>
        <w:pStyle w:val="Z11"/>
        <w:widowControl/>
        <w:numPr>
          <w:ilvl w:val="0"/>
          <w:numId w:val="0"/>
        </w:numPr>
        <w:spacing w:lineRule="auto" w:line="360"/>
        <w:outlineLvl w:val="0"/>
        <w:rPr>
          <w:color w:val="000000"/>
          <w:sz w:val="22"/>
        </w:rPr>
      </w:pPr>
      <w:r>
        <w:rPr>
          <w:color w:val="000000"/>
          <w:sz w:val="22"/>
        </w:rPr>
        <w:t>3.1. Do rozbiórek może być użyty dowolny sprzęt.</w:t>
      </w:r>
    </w:p>
    <w:p>
      <w:pPr>
        <w:pStyle w:val="Nagwek1"/>
        <w:rPr/>
      </w:pPr>
      <w:r>
        <w:rPr/>
        <w:t>4. Transport</w:t>
      </w:r>
    </w:p>
    <w:p>
      <w:pPr>
        <w:pStyle w:val="Znormal"/>
        <w:widowControl/>
        <w:rPr>
          <w:color w:val="000000"/>
        </w:rPr>
      </w:pPr>
      <w:r>
        <w:rPr>
          <w:color w:val="000000"/>
        </w:rPr>
        <w:t>Transport materiałów z rozbiórki środkami transportu.</w:t>
      </w:r>
    </w:p>
    <w:p>
      <w:pPr>
        <w:pStyle w:val="Znormal"/>
        <w:widowControl/>
        <w:rPr>
          <w:color w:val="000000"/>
        </w:rPr>
      </w:pPr>
      <w:r>
        <w:rPr>
          <w:color w:val="000000"/>
        </w:rPr>
        <w:t>Przewożony ładunek zabezpieczyć przed spadaniem i przesuwaniem.</w:t>
      </w:r>
    </w:p>
    <w:p>
      <w:pPr>
        <w:pStyle w:val="Znormal"/>
        <w:widowControl/>
        <w:rPr>
          <w:color w:val="000000"/>
        </w:rPr>
      </w:pPr>
      <w:r>
        <w:rPr>
          <w:color w:val="000000"/>
        </w:rPr>
      </w:r>
    </w:p>
    <w:p>
      <w:pPr>
        <w:pStyle w:val="Znormal"/>
        <w:widowControl/>
        <w:rPr>
          <w:color w:val="000000"/>
        </w:rPr>
      </w:pPr>
      <w:r>
        <w:rPr>
          <w:color w:val="000000"/>
        </w:rPr>
      </w:r>
    </w:p>
    <w:p>
      <w:pPr>
        <w:pStyle w:val="Nagwek1"/>
        <w:rPr/>
      </w:pPr>
      <w:r>
        <w:rPr/>
        <w:t>5. Wykonanie robót</w:t>
      </w:r>
    </w:p>
    <w:p>
      <w:pPr>
        <w:pStyle w:val="Z11"/>
        <w:keepNext w:val="true"/>
        <w:widowControl/>
        <w:numPr>
          <w:ilvl w:val="0"/>
          <w:numId w:val="0"/>
        </w:numPr>
        <w:spacing w:lineRule="auto" w:line="360"/>
        <w:outlineLvl w:val="0"/>
        <w:rPr>
          <w:color w:val="000000"/>
          <w:sz w:val="22"/>
        </w:rPr>
      </w:pPr>
      <w:r>
        <w:rPr>
          <w:color w:val="000000"/>
          <w:sz w:val="22"/>
        </w:rPr>
        <w:t>5.1. Roboty przygotowawcze</w:t>
      </w:r>
    </w:p>
    <w:p>
      <w:pPr>
        <w:pStyle w:val="Normal"/>
        <w:widowControl/>
        <w:ind w:left="397" w:right="0" w:hanging="0"/>
        <w:rPr>
          <w:color w:val="000000"/>
          <w:szCs w:val="19"/>
        </w:rPr>
      </w:pPr>
      <w:r>
        <w:rPr>
          <w:color w:val="000000"/>
          <w:szCs w:val="19"/>
        </w:rPr>
        <w:t>Przed przystąpieniem do robót rozbiórkowych należy:</w:t>
      </w:r>
    </w:p>
    <w:p>
      <w:pPr>
        <w:pStyle w:val="KRESKA"/>
        <w:numPr>
          <w:ilvl w:val="0"/>
          <w:numId w:val="0"/>
        </w:numPr>
        <w:ind w:left="1787" w:right="0" w:hanging="0"/>
        <w:rPr/>
      </w:pPr>
      <w:r>
        <w:rPr>
          <w:color w:val="000000"/>
          <w:szCs w:val="19"/>
        </w:rPr>
        <w:t xml:space="preserve">-   </w:t>
      </w:r>
      <w:r>
        <w:rPr/>
        <w:t>teren ogrodzić i oznakować zgodnie z wymogami BHP,</w:t>
      </w:r>
    </w:p>
    <w:p>
      <w:pPr>
        <w:pStyle w:val="KRESKA"/>
        <w:numPr>
          <w:ilvl w:val="0"/>
          <w:numId w:val="0"/>
        </w:numPr>
        <w:ind w:left="1787" w:right="0" w:hanging="0"/>
        <w:rPr/>
      </w:pPr>
      <w:r>
        <w:rPr/>
        <w:t>- zdemontować istniejące zasilanie w energię elektryczną, instalację teletechniczną i wodno-kanalizacyjną oraz wszelkie istniejące uzbrojenie.</w:t>
      </w:r>
    </w:p>
    <w:p>
      <w:pPr>
        <w:pStyle w:val="Z11"/>
        <w:widowControl/>
        <w:numPr>
          <w:ilvl w:val="0"/>
          <w:numId w:val="0"/>
        </w:numPr>
        <w:spacing w:lineRule="auto" w:line="360"/>
        <w:outlineLvl w:val="0"/>
        <w:rPr>
          <w:color w:val="000000"/>
          <w:sz w:val="22"/>
        </w:rPr>
      </w:pPr>
      <w:r>
        <w:rPr>
          <w:color w:val="000000"/>
          <w:sz w:val="22"/>
        </w:rPr>
        <w:t>5.2. Roboty rozbiórkowe</w:t>
      </w:r>
    </w:p>
    <w:p>
      <w:pPr>
        <w:pStyle w:val="Znormal"/>
        <w:widowControl/>
        <w:rPr>
          <w:color w:val="000000"/>
        </w:rPr>
      </w:pPr>
      <w:r>
        <w:rPr>
          <w:color w:val="000000"/>
        </w:rPr>
        <w:t>Roboty prowadzić zgodnie z rozporządzeniem Ministra Infrastruktury z dnia 06.02.2003 r. (Dz.U. Nr 47 poz. 401) w sprawie bezpieczeństwa i higieny pracy podczas wykonywania robót budowlanych.</w:t>
      </w:r>
    </w:p>
    <w:p>
      <w:pPr>
        <w:pStyle w:val="Z3"/>
        <w:widowControl/>
        <w:rPr>
          <w:color w:val="000000"/>
        </w:rPr>
      </w:pPr>
      <w:r>
        <w:rPr>
          <w:color w:val="000000"/>
        </w:rPr>
        <w:t>5.2.1. Obiekty kubaturowe</w:t>
      </w:r>
    </w:p>
    <w:p>
      <w:pPr>
        <w:pStyle w:val="Z4"/>
        <w:widowControl/>
        <w:tabs>
          <w:tab w:val="clear" w:pos="939"/>
          <w:tab w:val="left" w:pos="1418" w:leader="none"/>
        </w:tabs>
        <w:ind w:left="1418" w:right="0" w:hanging="425"/>
        <w:rPr/>
      </w:pPr>
      <w:r>
        <w:rPr>
          <w:color w:val="000000"/>
        </w:rPr>
        <w:t xml:space="preserve"> </w:t>
      </w:r>
      <w:r>
        <w:rPr>
          <w:color w:val="000000"/>
        </w:rPr>
        <w:t>(</w:t>
      </w:r>
      <w:r>
        <w:rPr>
          <w:color w:val="000000"/>
        </w:rPr>
        <w:t>1</w:t>
      </w:r>
      <w:r>
        <w:rPr>
          <w:color w:val="000000"/>
        </w:rPr>
        <w:t>) </w:t>
        <w:tab/>
        <w:t>Stropy i ściany rozebrać ręcznie lub mechanicznie, łącznie ze ścianami fundamentowymi. Materiały posegregować i odnieść lub odwieźć na miejsce składowania.</w:t>
      </w:r>
    </w:p>
    <w:p>
      <w:pPr>
        <w:pStyle w:val="Z4"/>
        <w:widowControl/>
        <w:tabs>
          <w:tab w:val="clear" w:pos="939"/>
          <w:tab w:val="left" w:pos="1418" w:leader="none"/>
        </w:tabs>
        <w:ind w:left="1418" w:right="0" w:hanging="425"/>
        <w:rPr>
          <w:color w:val="000000"/>
        </w:rPr>
      </w:pPr>
      <w:r>
        <w:rPr>
          <w:color w:val="000000"/>
        </w:rPr>
        <w:t xml:space="preserve"> </w:t>
      </w:r>
      <w:r>
        <w:rPr>
          <w:color w:val="000000"/>
        </w:rPr>
        <w:t>(</w:t>
      </w:r>
      <w:r>
        <w:rPr>
          <w:color w:val="000000"/>
        </w:rPr>
        <w:t>2</w:t>
      </w:r>
      <w:r>
        <w:rPr>
          <w:color w:val="000000"/>
        </w:rPr>
        <w:t>) </w:t>
        <w:tab/>
        <w:t>Powstały po rozbiórce wykop zasypać gruntem piaszczystym zagęszczanym warstwami. Wierzchnią warstwę grubości 0,2 m zasypać gruntem rodzimym.</w:t>
      </w:r>
    </w:p>
    <w:p>
      <w:pPr>
        <w:pStyle w:val="Z4"/>
        <w:widowControl/>
        <w:tabs>
          <w:tab w:val="clear" w:pos="939"/>
          <w:tab w:val="left" w:pos="1418" w:leader="none"/>
        </w:tabs>
        <w:ind w:left="1418" w:right="0" w:hanging="425"/>
        <w:rPr>
          <w:color w:val="000000"/>
        </w:rPr>
      </w:pPr>
      <w:r>
        <w:rPr>
          <w:color w:val="000000"/>
        </w:rPr>
        <w:t xml:space="preserve"> </w:t>
      </w:r>
      <w:r>
        <w:rPr>
          <w:color w:val="000000"/>
        </w:rPr>
        <w:t>(</w:t>
      </w:r>
      <w:r>
        <w:rPr>
          <w:color w:val="000000"/>
        </w:rPr>
        <w:t>3</w:t>
      </w:r>
      <w:r>
        <w:rPr>
          <w:color w:val="000000"/>
        </w:rPr>
        <w:t>) </w:t>
        <w:tab/>
        <w:t>Teren splantować i oczyścić z resztek materiałów.</w:t>
      </w:r>
    </w:p>
    <w:p>
      <w:pPr>
        <w:pStyle w:val="Z3"/>
        <w:widowControl/>
        <w:rPr>
          <w:color w:val="000000"/>
        </w:rPr>
      </w:pPr>
      <w:r>
        <w:rPr>
          <w:color w:val="000000"/>
        </w:rPr>
        <w:t>5.2.3. Rozbiórka ogrodzenia i zasieków</w:t>
      </w:r>
    </w:p>
    <w:p>
      <w:pPr>
        <w:pStyle w:val="Z4"/>
        <w:widowControl/>
        <w:ind w:left="1418" w:right="0" w:hanging="425"/>
        <w:rPr>
          <w:color w:val="000000"/>
        </w:rPr>
      </w:pPr>
      <w:r>
        <w:rPr>
          <w:color w:val="000000"/>
        </w:rPr>
        <w:t xml:space="preserve"> </w:t>
      </w:r>
      <w:r>
        <w:rPr>
          <w:color w:val="000000"/>
        </w:rPr>
        <w:t>(</w:t>
      </w:r>
      <w:r>
        <w:rPr>
          <w:color w:val="000000"/>
        </w:rPr>
        <w:t>1</w:t>
      </w:r>
      <w:r>
        <w:rPr>
          <w:color w:val="000000"/>
        </w:rPr>
        <w:t>)</w:t>
        <w:tab/>
        <w:t>Fundamenty betonowe rozebrać ręcznie lub mechanicznie.</w:t>
        <w:tab/>
        <w:br/>
        <w:t xml:space="preserve">Uzyskany gruz składować, </w:t>
      </w:r>
      <w:r>
        <w:rPr>
          <w:color w:val="000000"/>
        </w:rPr>
        <w:t>następnie wywieźć</w:t>
      </w:r>
      <w:r>
        <w:rPr>
          <w:color w:val="000000"/>
        </w:rPr>
        <w:t>.</w:t>
      </w:r>
    </w:p>
    <w:p>
      <w:pPr>
        <w:pStyle w:val="Z4"/>
        <w:widowControl/>
        <w:ind w:left="1418" w:right="0" w:hanging="425"/>
        <w:rPr/>
      </w:pPr>
      <w:r>
        <w:rPr>
          <w:color w:val="000000"/>
        </w:rPr>
        <w:t xml:space="preserve"> </w:t>
      </w:r>
      <w:r>
        <w:rPr>
          <w:color w:val="000000"/>
        </w:rPr>
        <w:t>(</w:t>
      </w:r>
      <w:r>
        <w:rPr>
          <w:color w:val="000000"/>
        </w:rPr>
        <w:t>2</w:t>
      </w:r>
      <w:r>
        <w:rPr>
          <w:color w:val="000000"/>
        </w:rPr>
        <w:t>) </w:t>
        <w:tab/>
        <w:t>Wykopy zasypać gruntem rodzimym. Teren splantować.</w:t>
      </w:r>
    </w:p>
    <w:p>
      <w:pPr>
        <w:pStyle w:val="Nagwek1"/>
        <w:rPr/>
      </w:pPr>
      <w:r>
        <w:rPr/>
        <w:t>6. Kontrola jakości robót</w:t>
      </w:r>
    </w:p>
    <w:p>
      <w:pPr>
        <w:pStyle w:val="Znormal"/>
        <w:widowControl/>
        <w:rPr>
          <w:color w:val="000000"/>
        </w:rPr>
      </w:pPr>
      <w:r>
        <w:rPr>
          <w:color w:val="000000"/>
        </w:rPr>
        <w:t>Wymagania dla robót rozbiórkowych podano w punktach 5.1. do 5.3.</w:t>
      </w:r>
    </w:p>
    <w:p>
      <w:pPr>
        <w:pStyle w:val="Nagwek1"/>
        <w:rPr/>
      </w:pPr>
      <w:r>
        <w:rPr/>
        <w:t>7. Obmiar robót</w:t>
      </w:r>
    </w:p>
    <w:p>
      <w:pPr>
        <w:pStyle w:val="Znormal"/>
        <w:widowControl/>
        <w:rPr>
          <w:color w:val="000000"/>
        </w:rPr>
      </w:pPr>
      <w:r>
        <w:rPr>
          <w:color w:val="000000"/>
        </w:rPr>
        <w:t>Jednostkami obmiarowymi są:</w:t>
      </w:r>
    </w:p>
    <w:p>
      <w:pPr>
        <w:pStyle w:val="Znormal"/>
        <w:widowControl/>
        <w:rPr>
          <w:color w:val="000000"/>
        </w:rPr>
      </w:pPr>
      <w:r>
        <w:rPr>
          <w:color w:val="000000"/>
        </w:rPr>
        <w:t>B.01.01.01. – Rozbiórki obiektów kubaturowych – [1 szt.]</w:t>
      </w:r>
    </w:p>
    <w:p>
      <w:pPr>
        <w:pStyle w:val="Znormal"/>
        <w:widowControl/>
        <w:rPr/>
      </w:pPr>
      <w:r>
        <w:rPr>
          <w:color w:val="000000"/>
        </w:rPr>
        <w:t>B.01.01.02. – Rozbiórki obiektów inżynierskich – [m</w:t>
      </w:r>
      <w:r>
        <w:rPr>
          <w:color w:val="000000"/>
          <w:vertAlign w:val="superscript"/>
        </w:rPr>
        <w:t>3</w:t>
      </w:r>
      <w:r>
        <w:rPr>
          <w:color w:val="000000"/>
        </w:rPr>
        <w:t>]</w:t>
      </w:r>
    </w:p>
    <w:p>
      <w:pPr>
        <w:pStyle w:val="Znormal"/>
        <w:widowControl/>
        <w:rPr>
          <w:color w:val="000000"/>
        </w:rPr>
      </w:pPr>
      <w:r>
        <w:rPr>
          <w:color w:val="000000"/>
        </w:rPr>
        <w:t>B.01.01.03. – Rozbiórki ogrodzeń i zasieków – [m]</w:t>
      </w:r>
    </w:p>
    <w:p>
      <w:pPr>
        <w:pStyle w:val="Nagwek1"/>
        <w:rPr/>
      </w:pPr>
      <w:r>
        <w:rPr/>
        <w:t>8. Odbiór robót</w:t>
      </w:r>
    </w:p>
    <w:p>
      <w:pPr>
        <w:pStyle w:val="Znormal"/>
        <w:widowControl/>
        <w:rPr>
          <w:color w:val="000000"/>
        </w:rPr>
      </w:pPr>
      <w:r>
        <w:rPr>
          <w:color w:val="000000"/>
        </w:rPr>
        <w:t>Wszystkie roboty objęte B.01.00.00. podlegają zasadom odbioru robót zanikających.</w:t>
      </w:r>
    </w:p>
    <w:p>
      <w:pPr>
        <w:pStyle w:val="Nagwek1"/>
        <w:rPr/>
      </w:pPr>
      <w:r>
        <w:rPr/>
        <w:t>9. Podstawa płatności</w:t>
      </w:r>
    </w:p>
    <w:p>
      <w:pPr>
        <w:pStyle w:val="Znormal"/>
        <w:widowControl/>
        <w:rPr>
          <w:color w:val="000000"/>
        </w:rPr>
      </w:pPr>
      <w:r>
        <w:rPr>
          <w:color w:val="000000"/>
        </w:rPr>
        <w:t>Płaci się za roboty wykonane zgodnie z wymaganiami podanymi w punkcie 5 i odebrane przez Inżyniera mierzone w jednostkach podanych w punkcie 7.</w:t>
      </w:r>
    </w:p>
    <w:p>
      <w:pPr>
        <w:pStyle w:val="Znormal"/>
        <w:widowControl/>
        <w:rPr>
          <w:color w:val="000000"/>
        </w:rPr>
      </w:pPr>
      <w:r>
        <w:rPr>
          <w:color w:val="000000"/>
        </w:rPr>
      </w:r>
    </w:p>
    <w:p>
      <w:pPr>
        <w:pStyle w:val="Nagwek1"/>
        <w:rPr/>
      </w:pPr>
      <w:r>
        <w:rPr/>
        <w:t>10. Uwagi szczegółowe</w:t>
      </w:r>
    </w:p>
    <w:p>
      <w:pPr>
        <w:pStyle w:val="Z11"/>
        <w:widowControl/>
        <w:spacing w:lineRule="auto" w:line="360"/>
        <w:rPr/>
      </w:pPr>
      <w:r>
        <w:rPr>
          <w:color w:val="000000"/>
          <w:sz w:val="22"/>
        </w:rPr>
        <w:t>10.1.</w:t>
      </w:r>
      <w:r>
        <w:rPr>
          <w:color w:val="000000"/>
          <w:sz w:val="22"/>
          <w:u w:val="none"/>
        </w:rPr>
        <w:t> Materiały uzyskane z rozbiórek do ponownego wbudowania zakwalifikuje Inżynier.</w:t>
      </w:r>
    </w:p>
    <w:p>
      <w:pPr>
        <w:pStyle w:val="Zal"/>
        <w:widowControl/>
        <w:spacing w:lineRule="auto" w:line="360"/>
        <w:ind w:left="0" w:right="0" w:hanging="0"/>
        <w:jc w:val="left"/>
        <w:rPr/>
      </w:pPr>
      <w:r>
        <w:rPr>
          <w:b w:val="false"/>
          <w:bCs w:val="false"/>
          <w:color w:val="000000"/>
        </w:rPr>
        <w:t>10.2.</w:t>
      </w:r>
      <w:r>
        <w:rPr>
          <w:b w:val="false"/>
          <w:bCs w:val="false"/>
          <w:color w:val="000000"/>
          <w:u w:val="none"/>
        </w:rPr>
        <w:t> Ilości robót rozbiórkowych mogą ulec zmianie na podstawie decyzji Inżyniera.</w:t>
      </w:r>
    </w:p>
    <w:p>
      <w:pPr>
        <w:pStyle w:val="Nagwek1"/>
        <w:keepNext w:val="true"/>
        <w:keepLines/>
        <w:widowControl/>
        <w:suppressAutoHyphens w:val="true"/>
        <w:bidi w:val="0"/>
        <w:spacing w:lineRule="auto" w:line="360" w:before="480" w:after="0"/>
        <w:ind w:left="0" w:right="0" w:hanging="0"/>
        <w:jc w:val="left"/>
        <w:rPr/>
      </w:pPr>
      <w:r>
        <w:rPr/>
        <w:t>PZ.01.02.01 Roboty ziemne, wykopy i zasypy</w:t>
        <w:br/>
        <w:t>KOD CPV: 45113000-2  Roboty na placu budowy</w:t>
      </w:r>
    </w:p>
    <w:p>
      <w:pPr>
        <w:pStyle w:val="Nagwek1"/>
        <w:rPr/>
      </w:pPr>
      <w:r>
        <w:rPr/>
        <w:t xml:space="preserve">1. </w:t>
      </w:r>
      <w:r>
        <w:rPr/>
        <w:t>Część ogóln</w:t>
      </w:r>
      <w:r>
        <w:rPr/>
        <w:t>a</w:t>
      </w:r>
    </w:p>
    <w:p>
      <w:pPr>
        <w:pStyle w:val="Nagwek2"/>
        <w:rPr/>
      </w:pPr>
      <w:r>
        <w:rPr/>
        <w:t>1.1. Nazwa nadana przez zamawiającego</w:t>
      </w:r>
    </w:p>
    <w:p>
      <w:pPr>
        <w:pStyle w:val="Normal"/>
        <w:rPr/>
      </w:pPr>
      <w:r>
        <w:rPr>
          <w:b/>
          <w:i/>
        </w:rPr>
        <w:t>„</w:t>
      </w:r>
      <w:r>
        <w:rPr>
          <w:b/>
          <w:i/>
        </w:rPr>
        <w:t>Przebudowa budynku garażowo-magazynowego wraz z zagospodarowaniem terenu, infrastrukturą techniczną oraz rozbiórką zbiorników wodnych na działce nr ewid.: 868/2 i części działki nr ewid. 857/41, obręb 0001, w Andrychowie”</w:t>
      </w:r>
      <w:r>
        <w:rPr>
          <w:b/>
          <w:i/>
        </w:rPr>
        <w:t>.</w:t>
      </w:r>
    </w:p>
    <w:p>
      <w:pPr>
        <w:pStyle w:val="Nagwek2"/>
        <w:rPr/>
      </w:pPr>
      <w:r>
        <w:rPr/>
        <w:t>1.2. Przedmiot i zakres robót budowlanych,</w:t>
      </w:r>
    </w:p>
    <w:p>
      <w:pPr>
        <w:pStyle w:val="Normal"/>
        <w:rPr/>
      </w:pPr>
      <w:r>
        <w:rPr/>
        <w:t>Specyfikacja techniczna jest dokumentem przetargowym i kontraktowym przy zlecaniu i realizacji robót z zakres budowy placów zabaw. Ustalenia zawarte w niniejszej specyfikacji dotyczą zasad prowadzenia robót związanych z wykonaniem:</w:t>
      </w:r>
    </w:p>
    <w:p>
      <w:pPr>
        <w:pStyle w:val="Lista1"/>
        <w:numPr>
          <w:ilvl w:val="0"/>
          <w:numId w:val="25"/>
        </w:numPr>
        <w:rPr/>
      </w:pPr>
      <w:r>
        <w:rPr/>
        <w:t>wykopów,</w:t>
      </w:r>
    </w:p>
    <w:p>
      <w:pPr>
        <w:pStyle w:val="Lista1"/>
        <w:numPr>
          <w:ilvl w:val="0"/>
          <w:numId w:val="26"/>
        </w:numPr>
        <w:rPr/>
      </w:pPr>
      <w:r>
        <w:rPr/>
        <w:t>zasypów,</w:t>
      </w:r>
    </w:p>
    <w:p>
      <w:pPr>
        <w:pStyle w:val="Nagwek2"/>
        <w:rPr/>
      </w:pPr>
      <w:r>
        <w:rPr/>
        <w:t>1.3. Wyszczególnienie i opis prac towarzyszących i robót tymczasowych,</w:t>
      </w:r>
    </w:p>
    <w:p>
      <w:pPr>
        <w:pStyle w:val="Normal"/>
        <w:rPr/>
      </w:pPr>
      <w:r>
        <w:rPr/>
        <w:t>Opis prac towarzyszących i robót tymczasowych podano w ST „Wymagania Ogólne”</w:t>
      </w:r>
    </w:p>
    <w:p>
      <w:pPr>
        <w:pStyle w:val="Nagwek2"/>
        <w:rPr/>
      </w:pPr>
      <w:r>
        <w:rPr/>
        <w:t>1.4. Informacje o terenie budowy,</w:t>
      </w:r>
    </w:p>
    <w:p>
      <w:pPr>
        <w:pStyle w:val="Normal"/>
        <w:rPr/>
      </w:pPr>
      <w:r>
        <w:rPr/>
        <w:t xml:space="preserve">Wg. specyfikacji PZ.00.00.00 „Wymagania Ogólne”. </w:t>
      </w:r>
    </w:p>
    <w:p>
      <w:pPr>
        <w:pStyle w:val="Nagwek2"/>
        <w:rPr/>
      </w:pPr>
      <w:r>
        <w:rPr/>
        <w:t>1.</w:t>
      </w:r>
      <w:r>
        <w:rPr>
          <w:rFonts w:eastAsia="SimSun" w:cs="font271"/>
          <w:b/>
          <w:bCs/>
          <w:color w:val="auto"/>
          <w:kern w:val="0"/>
          <w:sz w:val="32"/>
          <w:szCs w:val="32"/>
          <w:lang w:val="pl-PL" w:eastAsia="ar-SA" w:bidi="ar-SA"/>
        </w:rPr>
        <w:t>5</w:t>
      </w:r>
      <w:r>
        <w:rPr/>
        <w:t>. Określenia podstawowe,</w:t>
      </w:r>
    </w:p>
    <w:p>
      <w:pPr>
        <w:pStyle w:val="Normal"/>
        <w:rPr/>
      </w:pPr>
      <w:r>
        <w:rPr>
          <w:b/>
          <w:bCs/>
        </w:rPr>
        <w:t>Grunt skalisty</w:t>
      </w:r>
      <w:r>
        <w:rPr/>
        <w:t xml:space="preserve"> - grunt rodzimy, lity lub spękany o nieprzesuniętych blokach, którego próbki nie wykazują zmian objętości ani nie rozpadają się pod działaniem wody destylowanej; mają wytrzymałość na ściskanie Rc ponad 0,2 MPa; wymaga użycia środków wybuchowych albo narzędzi pneumatycznych lub hydraulicznych do odspojenia,</w:t>
      </w:r>
    </w:p>
    <w:p>
      <w:pPr>
        <w:pStyle w:val="Normal"/>
        <w:rPr/>
      </w:pPr>
      <w:r>
        <w:rPr>
          <w:b/>
          <w:bCs/>
        </w:rPr>
        <w:t>Grunt nieskalisty</w:t>
      </w:r>
      <w:r>
        <w:rPr/>
        <w:t xml:space="preserve"> - każdy grunt rodzimy, nie określony w punkcie 1.4.1 jako grunt skalisty,</w:t>
      </w:r>
    </w:p>
    <w:p>
      <w:pPr>
        <w:pStyle w:val="Normal"/>
        <w:rPr/>
      </w:pPr>
      <w:r>
        <w:rPr>
          <w:b/>
          <w:bCs/>
        </w:rPr>
        <w:t>Ukop</w:t>
      </w:r>
      <w:r>
        <w:rPr>
          <w:bCs/>
        </w:rPr>
        <w:t xml:space="preserve"> </w:t>
      </w:r>
      <w:r>
        <w:rPr/>
        <w:t>- miejsce pozyskania gruntu do wykonania zasypów,</w:t>
      </w:r>
    </w:p>
    <w:p>
      <w:pPr>
        <w:pStyle w:val="Normal"/>
        <w:rPr/>
      </w:pPr>
      <w:r>
        <w:rPr>
          <w:b/>
          <w:bCs/>
        </w:rPr>
        <w:t>Odkład</w:t>
      </w:r>
      <w:r>
        <w:rPr>
          <w:bCs/>
        </w:rPr>
        <w:t xml:space="preserve"> </w:t>
      </w:r>
      <w:r>
        <w:rPr/>
        <w:t>- miejsce wbudowania lub składowania (odwiezienia) gruntów pozyskanych w czasie wykonywania wykopów,</w:t>
      </w:r>
    </w:p>
    <w:p>
      <w:pPr>
        <w:pStyle w:val="Normal"/>
        <w:rPr/>
      </w:pPr>
      <w:r>
        <w:rPr>
          <w:b/>
          <w:bCs/>
        </w:rPr>
        <w:t>Budowla ziemna</w:t>
      </w:r>
      <w:r>
        <w:rPr/>
        <w:t xml:space="preserve"> - budowla wykonana w gruncie lub z gruntu albo rozdrobnionych odpadów przemysłowych, spełniająca warunki stateczności i odwodnienia oraz przyjmująca obciążenia od środków transportowych i urządzeń na i w korpusie drogowym.</w:t>
      </w:r>
    </w:p>
    <w:p>
      <w:pPr>
        <w:pStyle w:val="Normal"/>
        <w:rPr/>
      </w:pPr>
      <w:r>
        <w:rPr>
          <w:b/>
          <w:bCs/>
        </w:rPr>
        <w:t>Wysokość nasypu lub głębokość wykopu</w:t>
      </w:r>
      <w:r>
        <w:rPr>
          <w:bCs/>
        </w:rPr>
        <w:t xml:space="preserve"> </w:t>
      </w:r>
      <w:r>
        <w:rPr/>
        <w:t>- różnica rzędnej terenu i rzędnej robót ziemnych, wyznaczonych w osi nasypu lub wykopu.</w:t>
      </w:r>
    </w:p>
    <w:p>
      <w:pPr>
        <w:pStyle w:val="Normal"/>
        <w:rPr/>
      </w:pPr>
      <w:r>
        <w:rPr>
          <w:b/>
          <w:bCs/>
        </w:rPr>
        <w:t>Skarpa</w:t>
      </w:r>
      <w:r>
        <w:rPr/>
        <w:t xml:space="preserve"> - zewnętrzna umocniona boczna powierzchnia nasypu lub wykopu o kształcie i nachyleniu dostosowanym do właściwości gruntu i lokalnych uwarunkowań.</w:t>
      </w:r>
    </w:p>
    <w:p>
      <w:pPr>
        <w:pStyle w:val="Normal"/>
        <w:rPr/>
      </w:pPr>
      <w:r>
        <w:rPr/>
        <w:t>Pozostałe określenia podstawowe są zgodne z obowiązującymi, odpowiednimi polskimi normami oraz z definicjami podanymi w ST „Warunki Ogólne”</w:t>
      </w:r>
    </w:p>
    <w:p>
      <w:pPr>
        <w:pStyle w:val="Nagwek2"/>
        <w:rPr/>
      </w:pPr>
      <w:r>
        <w:rPr/>
        <w:t>1.</w:t>
      </w:r>
      <w:r>
        <w:rPr>
          <w:rFonts w:eastAsia="SimSun" w:cs="font271"/>
          <w:b/>
          <w:bCs/>
          <w:color w:val="auto"/>
          <w:kern w:val="0"/>
          <w:sz w:val="32"/>
          <w:szCs w:val="32"/>
          <w:lang w:val="pl-PL" w:eastAsia="ar-SA" w:bidi="ar-SA"/>
        </w:rPr>
        <w:t>6</w:t>
      </w:r>
      <w:r>
        <w:rPr/>
        <w:t>. Ogólne wymagania dotyczące robót,</w:t>
      </w:r>
    </w:p>
    <w:p>
      <w:pPr>
        <w:pStyle w:val="Normal"/>
        <w:rPr/>
      </w:pPr>
      <w:r>
        <w:rPr/>
        <w:t>Ogólne wymagania dotyczące robót podano w ST „Wymagania Ogólne”.</w:t>
      </w:r>
    </w:p>
    <w:p>
      <w:pPr>
        <w:pStyle w:val="Nagwek1"/>
        <w:rPr/>
      </w:pPr>
      <w:r>
        <w:rPr/>
        <w:t>2. Wymagania dotyczące właściwości wyrobów budowlanych</w:t>
      </w:r>
    </w:p>
    <w:p>
      <w:pPr>
        <w:pStyle w:val="Nagwek2"/>
        <w:rPr/>
      </w:pPr>
      <w:r>
        <w:rPr/>
        <w:t xml:space="preserve">2.1. Ogólne wymagania dotyczące wyrobów budowlanych </w:t>
      </w:r>
    </w:p>
    <w:p>
      <w:pPr>
        <w:pStyle w:val="Normal"/>
        <w:rPr/>
      </w:pPr>
      <w:r>
        <w:rPr/>
        <w:t>Ogólne wymagania dotyczące wyrobów budowlanych podano w ST „Wymagania ogólne”.</w:t>
      </w:r>
    </w:p>
    <w:p>
      <w:pPr>
        <w:pStyle w:val="Normal"/>
        <w:rPr/>
      </w:pPr>
      <w:r>
        <w:rPr/>
        <w:t>Zasypy będą wykonywane gruntem, powstałym z wykopów i odkopów zbiorników retencyjnych.</w:t>
      </w:r>
    </w:p>
    <w:p>
      <w:pPr>
        <w:pStyle w:val="Nagwek2"/>
        <w:rPr/>
      </w:pPr>
      <w:r>
        <w:rPr/>
        <w:t>2.2. Szczegółowe wymagania dotyczące wyrobów budowlanych</w:t>
      </w:r>
    </w:p>
    <w:p>
      <w:pPr>
        <w:pStyle w:val="Normal"/>
        <w:rPr/>
      </w:pPr>
      <w:r>
        <w:rPr/>
        <w:t>Nie zaleca się wykonywania zasypu z takich gruntów organicznych, jak:</w:t>
      </w:r>
    </w:p>
    <w:p>
      <w:pPr>
        <w:pStyle w:val="Lista1"/>
        <w:numPr>
          <w:ilvl w:val="0"/>
          <w:numId w:val="27"/>
        </w:numPr>
        <w:rPr/>
      </w:pPr>
      <w:r>
        <w:rPr/>
        <w:t>torfy wysokie i przejściowe,</w:t>
      </w:r>
    </w:p>
    <w:p>
      <w:pPr>
        <w:pStyle w:val="Lista1"/>
        <w:numPr>
          <w:ilvl w:val="0"/>
          <w:numId w:val="28"/>
        </w:numPr>
        <w:rPr/>
      </w:pPr>
      <w:r>
        <w:rPr/>
        <w:t>torfy niskie włókniste (o stopniu rozkładu poniżej 30 %),</w:t>
      </w:r>
    </w:p>
    <w:p>
      <w:pPr>
        <w:pStyle w:val="Lista1"/>
        <w:numPr>
          <w:ilvl w:val="0"/>
          <w:numId w:val="29"/>
        </w:numPr>
        <w:rPr/>
      </w:pPr>
      <w:r>
        <w:rPr/>
        <w:t>torfy węglanowe (o zawartości węglanu wapnia ponad 5 %),</w:t>
      </w:r>
    </w:p>
    <w:p>
      <w:pPr>
        <w:pStyle w:val="Normal"/>
        <w:rPr/>
      </w:pPr>
      <w:r>
        <w:rPr/>
        <w:t>Grunty uzyskane przy wykonywaniu wykopów zostaną użyte do jego zasypania po zakończeniu prac. Grunty przydatne do zasypania , makroniwelacji terenu mogą być wywiezione poza Teren Budowy tylko wówczas, gdy stanowią nadmiar objętości robót ziemnych albo na polecenie lub za zezwoleniem Inspektora. Grunty i materiały nieprzydatne do budowy nasypów lub zasypania wykopów powinny być wywiezione przez Wykonawcę na odkład. Inspektor może nakazać pozostawienie na Terenie Budowy gruntów, których czasowa nieprzydatność wynika jedynie z powodu zamarznięcia lub nadmiernej wilgotności.</w:t>
      </w:r>
    </w:p>
    <w:p>
      <w:pPr>
        <w:pStyle w:val="Normal"/>
        <w:rPr/>
      </w:pPr>
      <w:r>
        <w:rPr/>
        <w:t>Składowanie i przechowywanie materiałów Zgodnie z ST „Wymagania Ogólne”</w:t>
      </w:r>
    </w:p>
    <w:p>
      <w:pPr>
        <w:pStyle w:val="Nagwek1"/>
        <w:rPr/>
      </w:pPr>
      <w:r>
        <w:rPr/>
        <w:t xml:space="preserve">3. Wymagania dotyczące sprzętu i maszyn </w:t>
      </w:r>
    </w:p>
    <w:p>
      <w:pPr>
        <w:pStyle w:val="Nagwek2"/>
        <w:rPr/>
      </w:pPr>
      <w:r>
        <w:rPr/>
        <w:t>3.1. Ogólne wymagania dotyczące sprzętu i maszyn</w:t>
      </w:r>
    </w:p>
    <w:p>
      <w:pPr>
        <w:pStyle w:val="Normal"/>
        <w:rPr/>
      </w:pPr>
      <w:r>
        <w:rPr/>
        <w:t>Ogólne wymagania dotyczące sprzętu i maszyn podano w ST „Wymagania Ogólne”.</w:t>
      </w:r>
    </w:p>
    <w:p>
      <w:pPr>
        <w:pStyle w:val="Nagwek2"/>
        <w:rPr/>
      </w:pPr>
      <w:r>
        <w:rPr/>
        <w:t>3.2. Szczegółowe wymagania dotyczące sprzętu</w:t>
      </w:r>
    </w:p>
    <w:p>
      <w:pPr>
        <w:pStyle w:val="Nagwek2"/>
        <w:rPr/>
      </w:pPr>
      <w:r>
        <w:rPr/>
        <w:t>3.2.1. Szczegółowe wymagania dotyczące sprzętu dotyczącego wykonania wykopów.</w:t>
      </w:r>
    </w:p>
    <w:p>
      <w:pPr>
        <w:pStyle w:val="Normal"/>
        <w:tabs>
          <w:tab w:val="clear" w:pos="720"/>
          <w:tab w:val="left" w:pos="681" w:leader="none"/>
          <w:tab w:val="right" w:pos="8760" w:leader="dot"/>
        </w:tabs>
        <w:rPr/>
      </w:pPr>
      <w:r>
        <w:rPr/>
        <w:t>Do wykonania robót ziemnych może być wykorzystany sprzęt podany poniżej, lub inny zaakceptowany przez Inspektora:</w:t>
      </w:r>
    </w:p>
    <w:p>
      <w:pPr>
        <w:pStyle w:val="Normal"/>
        <w:tabs>
          <w:tab w:val="clear" w:pos="720"/>
          <w:tab w:val="left" w:pos="1135" w:leader="none"/>
          <w:tab w:val="right" w:pos="9214" w:leader="dot"/>
        </w:tabs>
        <w:ind w:left="709" w:right="0" w:hanging="0"/>
        <w:rPr/>
      </w:pPr>
      <w:r>
        <w:rPr/>
        <w:t>–</w:t>
      </w:r>
      <w:r>
        <w:rPr>
          <w:rFonts w:eastAsia="Liberation Serif" w:cs="Liberation Serif"/>
        </w:rPr>
        <w:t xml:space="preserve"> </w:t>
      </w:r>
      <w:r>
        <w:rPr/>
        <w:t>koparki,</w:t>
      </w:r>
    </w:p>
    <w:p>
      <w:pPr>
        <w:pStyle w:val="Normal"/>
        <w:tabs>
          <w:tab w:val="clear" w:pos="720"/>
          <w:tab w:val="left" w:pos="1135" w:leader="none"/>
          <w:tab w:val="right" w:pos="9214" w:leader="dot"/>
        </w:tabs>
        <w:ind w:left="709" w:right="0" w:hanging="0"/>
        <w:rPr/>
      </w:pPr>
      <w:r>
        <w:rPr/>
        <w:t>–</w:t>
      </w:r>
      <w:r>
        <w:rPr>
          <w:rFonts w:eastAsia="Liberation Serif" w:cs="Liberation Serif"/>
        </w:rPr>
        <w:t xml:space="preserve"> </w:t>
      </w:r>
      <w:r>
        <w:rPr/>
        <w:t>koparko-spycharki,</w:t>
      </w:r>
    </w:p>
    <w:p>
      <w:pPr>
        <w:pStyle w:val="Normal"/>
        <w:tabs>
          <w:tab w:val="clear" w:pos="720"/>
          <w:tab w:val="left" w:pos="1135" w:leader="none"/>
          <w:tab w:val="right" w:pos="9214" w:leader="dot"/>
        </w:tabs>
        <w:ind w:left="709" w:right="0" w:hanging="0"/>
        <w:rPr/>
      </w:pPr>
      <w:r>
        <w:rPr/>
        <w:t>–</w:t>
      </w:r>
      <w:r>
        <w:rPr>
          <w:rFonts w:eastAsia="Liberation Serif" w:cs="Liberation Serif"/>
        </w:rPr>
        <w:t xml:space="preserve"> </w:t>
      </w:r>
      <w:r>
        <w:rPr/>
        <w:t>ładowarki,</w:t>
      </w:r>
    </w:p>
    <w:p>
      <w:pPr>
        <w:pStyle w:val="Normal"/>
        <w:tabs>
          <w:tab w:val="clear" w:pos="720"/>
          <w:tab w:val="left" w:pos="1135" w:leader="none"/>
          <w:tab w:val="right" w:pos="9214" w:leader="dot"/>
        </w:tabs>
        <w:ind w:left="709" w:right="0" w:hanging="0"/>
        <w:rPr/>
      </w:pPr>
      <w:r>
        <w:rPr/>
        <w:t>–</w:t>
      </w:r>
      <w:r>
        <w:rPr>
          <w:rFonts w:eastAsia="Liberation Serif" w:cs="Liberation Serif"/>
        </w:rPr>
        <w:t xml:space="preserve"> </w:t>
      </w:r>
      <w:r>
        <w:rPr/>
        <w:t>samochody ciężarowe,</w:t>
      </w:r>
    </w:p>
    <w:p>
      <w:pPr>
        <w:pStyle w:val="Normal"/>
        <w:tabs>
          <w:tab w:val="clear" w:pos="720"/>
          <w:tab w:val="left" w:pos="1135" w:leader="none"/>
          <w:tab w:val="right" w:pos="9214" w:leader="dot"/>
        </w:tabs>
        <w:ind w:left="709" w:right="0" w:hanging="0"/>
        <w:rPr/>
      </w:pPr>
      <w:r>
        <w:rPr/>
        <w:t>–</w:t>
      </w:r>
      <w:r>
        <w:rPr>
          <w:rFonts w:eastAsia="Liberation Serif" w:cs="Liberation Serif"/>
        </w:rPr>
        <w:t xml:space="preserve"> </w:t>
      </w:r>
      <w:r>
        <w:rPr/>
        <w:t>młoty pneumatyczne,</w:t>
      </w:r>
    </w:p>
    <w:p>
      <w:pPr>
        <w:pStyle w:val="Nagwek2"/>
        <w:rPr/>
      </w:pPr>
      <w:r>
        <w:rPr/>
        <w:t xml:space="preserve">3.2.2. Szczegółowe wymagania dotyczące sprzętu dotyczące wykonania </w:t>
      </w:r>
      <w:r>
        <w:rPr>
          <w:lang w:val="pl-PL"/>
        </w:rPr>
        <w:t>z</w:t>
      </w:r>
      <w:r>
        <w:rPr/>
        <w:t>asypów.</w:t>
      </w:r>
    </w:p>
    <w:p>
      <w:pPr>
        <w:pStyle w:val="Normal"/>
        <w:rPr/>
      </w:pPr>
      <w:r>
        <w:rPr/>
        <w:t>Wykonawca jest zobowiązany do używania jedynie takiego rodzaju sprzętu, który nie spowoduje niekorzystnego wpływu na właściwości gruntu zarówno w miejscu jego naturalnego zalegania, jak też w czasie odspajania, transportu, wbudowania i zagęszczania. Sprzęt używany w robotach ziemnych powinien być zaakceptowany przez Inspektora.</w:t>
      </w:r>
    </w:p>
    <w:p>
      <w:pPr>
        <w:pStyle w:val="Normal"/>
        <w:rPr/>
      </w:pPr>
      <w:r>
        <w:rPr/>
        <w:t>W tablicy poniżej podano, dla różnych rodzajów gruntów, orientacyjne dane przy doborze sprzętu zagęszczającego. Sprzęt do zagęszczania powinien być zatwierdzony przez Inspektora.</w:t>
      </w:r>
    </w:p>
    <w:p>
      <w:pPr>
        <w:pStyle w:val="Normal"/>
        <w:spacing w:before="120" w:after="0"/>
        <w:jc w:val="center"/>
        <w:rPr/>
      </w:pPr>
      <w:r>
        <w:rPr/>
        <w:t>Orientacyjne dane przy doborze sprzętu zagęszczającego</w:t>
      </w:r>
    </w:p>
    <w:tbl>
      <w:tblPr>
        <w:tblW w:w="5000" w:type="pct"/>
        <w:jc w:val="left"/>
        <w:tblInd w:w="0" w:type="dxa"/>
        <w:tblLayout w:type="fixed"/>
        <w:tblCellMar>
          <w:top w:w="0" w:type="dxa"/>
          <w:left w:w="70" w:type="dxa"/>
          <w:bottom w:w="0" w:type="dxa"/>
          <w:right w:w="70" w:type="dxa"/>
        </w:tblCellMar>
      </w:tblPr>
      <w:tblGrid>
        <w:gridCol w:w="2180"/>
        <w:gridCol w:w="931"/>
        <w:gridCol w:w="1007"/>
        <w:gridCol w:w="930"/>
        <w:gridCol w:w="989"/>
        <w:gridCol w:w="931"/>
        <w:gridCol w:w="989"/>
        <w:gridCol w:w="1399"/>
      </w:tblGrid>
      <w:tr>
        <w:trPr>
          <w:trHeight w:val="283" w:hRule="atLeast"/>
        </w:trPr>
        <w:tc>
          <w:tcPr>
            <w:tcW w:w="2180" w:type="dxa"/>
            <w:tcBorders>
              <w:top w:val="single" w:sz="2" w:space="0" w:color="000000"/>
              <w:left w:val="single" w:sz="2" w:space="0" w:color="000000"/>
            </w:tcBorders>
            <w:vAlign w:val="center"/>
          </w:tcPr>
          <w:p>
            <w:pPr>
              <w:pStyle w:val="Normal"/>
              <w:snapToGrid w:val="false"/>
              <w:spacing w:before="240" w:after="0"/>
              <w:ind w:left="0" w:right="0" w:hanging="0"/>
              <w:jc w:val="center"/>
              <w:rPr>
                <w:sz w:val="20"/>
                <w:szCs w:val="20"/>
              </w:rPr>
            </w:pPr>
            <w:r>
              <w:rPr>
                <w:sz w:val="20"/>
                <w:szCs w:val="20"/>
              </w:rPr>
            </w:r>
          </w:p>
          <w:p>
            <w:pPr>
              <w:pStyle w:val="Normal"/>
              <w:ind w:left="0" w:right="0" w:hanging="0"/>
              <w:jc w:val="center"/>
              <w:rPr>
                <w:sz w:val="20"/>
                <w:szCs w:val="20"/>
              </w:rPr>
            </w:pPr>
            <w:r>
              <w:rPr>
                <w:sz w:val="20"/>
                <w:szCs w:val="20"/>
              </w:rPr>
            </w:r>
          </w:p>
        </w:tc>
        <w:tc>
          <w:tcPr>
            <w:tcW w:w="5777" w:type="dxa"/>
            <w:gridSpan w:val="6"/>
            <w:tcBorders>
              <w:top w:val="single" w:sz="2" w:space="0" w:color="000000"/>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Rodzaje gruntu</w:t>
            </w:r>
          </w:p>
        </w:tc>
        <w:tc>
          <w:tcPr>
            <w:tcW w:w="1399" w:type="dxa"/>
            <w:tcBorders>
              <w:top w:val="single" w:sz="2" w:space="0" w:color="000000"/>
              <w:left w:val="single" w:sz="2" w:space="0" w:color="000000"/>
              <w:right w:val="single" w:sz="2" w:space="0" w:color="000000"/>
            </w:tcBorders>
            <w:vAlign w:val="center"/>
          </w:tcPr>
          <w:p>
            <w:pPr>
              <w:pStyle w:val="Normal"/>
              <w:snapToGrid w:val="false"/>
              <w:spacing w:before="240" w:after="0"/>
              <w:ind w:left="0" w:right="0" w:hanging="0"/>
              <w:jc w:val="center"/>
              <w:rPr>
                <w:sz w:val="20"/>
                <w:szCs w:val="20"/>
              </w:rPr>
            </w:pPr>
            <w:r>
              <w:rPr>
                <w:sz w:val="20"/>
                <w:szCs w:val="20"/>
              </w:rPr>
            </w:r>
          </w:p>
        </w:tc>
      </w:tr>
      <w:tr>
        <w:trPr>
          <w:trHeight w:val="180" w:hRule="atLeast"/>
        </w:trPr>
        <w:tc>
          <w:tcPr>
            <w:tcW w:w="2180" w:type="dxa"/>
            <w:vMerge w:val="restart"/>
            <w:tcBorders>
              <w:left w:val="single" w:sz="2" w:space="0" w:color="000000"/>
            </w:tcBorders>
            <w:vAlign w:val="center"/>
          </w:tcPr>
          <w:p>
            <w:pPr>
              <w:pStyle w:val="Normal"/>
              <w:spacing w:before="240" w:after="0"/>
              <w:ind w:left="0" w:right="0" w:hanging="0"/>
              <w:jc w:val="center"/>
              <w:rPr>
                <w:sz w:val="20"/>
                <w:szCs w:val="20"/>
              </w:rPr>
            </w:pPr>
            <w:r>
              <w:rPr>
                <w:sz w:val="20"/>
                <w:szCs w:val="20"/>
              </w:rPr>
              <w:t>Rodzaje</w:t>
            </w:r>
          </w:p>
          <w:p>
            <w:pPr>
              <w:pStyle w:val="Normal"/>
              <w:ind w:left="0" w:right="0" w:hanging="0"/>
              <w:jc w:val="center"/>
              <w:rPr>
                <w:sz w:val="20"/>
                <w:szCs w:val="20"/>
              </w:rPr>
            </w:pPr>
            <w:r>
              <w:rPr>
                <w:sz w:val="20"/>
                <w:szCs w:val="20"/>
              </w:rPr>
              <w:t>urządzeń</w:t>
            </w:r>
          </w:p>
          <w:p>
            <w:pPr>
              <w:pStyle w:val="Normal"/>
              <w:ind w:left="0" w:right="0" w:hanging="0"/>
              <w:jc w:val="center"/>
              <w:rPr>
                <w:sz w:val="20"/>
                <w:szCs w:val="20"/>
              </w:rPr>
            </w:pPr>
            <w:r>
              <w:rPr>
                <w:sz w:val="20"/>
                <w:szCs w:val="20"/>
              </w:rPr>
              <w:t>zagęszczających</w:t>
            </w:r>
          </w:p>
        </w:tc>
        <w:tc>
          <w:tcPr>
            <w:tcW w:w="1938" w:type="dxa"/>
            <w:gridSpan w:val="2"/>
            <w:tcBorders>
              <w:left w:val="single" w:sz="2" w:space="0" w:color="000000"/>
            </w:tcBorders>
            <w:vAlign w:val="center"/>
          </w:tcPr>
          <w:p>
            <w:pPr>
              <w:pStyle w:val="Normal"/>
              <w:spacing w:before="240" w:after="0"/>
              <w:ind w:left="0" w:right="0" w:hanging="0"/>
              <w:jc w:val="center"/>
              <w:rPr>
                <w:sz w:val="20"/>
                <w:szCs w:val="20"/>
              </w:rPr>
            </w:pPr>
            <w:r>
              <w:rPr>
                <w:sz w:val="20"/>
                <w:szCs w:val="20"/>
              </w:rPr>
              <w:t>niespoiste: piaski, żwiry, pospółki</w:t>
            </w:r>
          </w:p>
        </w:tc>
        <w:tc>
          <w:tcPr>
            <w:tcW w:w="1919" w:type="dxa"/>
            <w:gridSpan w:val="2"/>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spoiste: pyły gliny, iły</w:t>
            </w:r>
          </w:p>
        </w:tc>
        <w:tc>
          <w:tcPr>
            <w:tcW w:w="1920" w:type="dxa"/>
            <w:gridSpan w:val="2"/>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gruboziarniste</w:t>
            </w:r>
          </w:p>
          <w:p>
            <w:pPr>
              <w:pStyle w:val="Normal"/>
              <w:ind w:left="0" w:right="0" w:hanging="0"/>
              <w:jc w:val="center"/>
              <w:rPr>
                <w:sz w:val="20"/>
                <w:szCs w:val="20"/>
              </w:rPr>
            </w:pPr>
            <w:r>
              <w:rPr>
                <w:sz w:val="20"/>
                <w:szCs w:val="20"/>
              </w:rPr>
              <w:t>i kamieniste</w:t>
            </w:r>
          </w:p>
        </w:tc>
        <w:tc>
          <w:tcPr>
            <w:tcW w:w="1399" w:type="dxa"/>
            <w:vMerge w:val="restart"/>
            <w:tcBorders>
              <w:left w:val="single" w:sz="2" w:space="0" w:color="000000"/>
              <w:right w:val="single" w:sz="2" w:space="0" w:color="000000"/>
            </w:tcBorders>
            <w:vAlign w:val="center"/>
          </w:tcPr>
          <w:p>
            <w:pPr>
              <w:pStyle w:val="Normal"/>
              <w:spacing w:before="240" w:after="0"/>
              <w:ind w:left="0" w:right="0" w:hanging="0"/>
              <w:jc w:val="center"/>
              <w:rPr>
                <w:sz w:val="20"/>
                <w:szCs w:val="20"/>
              </w:rPr>
            </w:pPr>
            <w:r>
              <w:rPr>
                <w:sz w:val="20"/>
                <w:szCs w:val="20"/>
              </w:rPr>
              <w:t>Uwagi o przydatności maszyn</w:t>
            </w:r>
          </w:p>
        </w:tc>
      </w:tr>
      <w:tr>
        <w:trPr/>
        <w:tc>
          <w:tcPr>
            <w:tcW w:w="2180" w:type="dxa"/>
            <w:vMerge w:val="continue"/>
            <w:tcBorders>
              <w:left w:val="single" w:sz="2" w:space="0" w:color="000000"/>
            </w:tcBorders>
            <w:vAlign w:val="center"/>
          </w:tcPr>
          <w:p>
            <w:pPr>
              <w:pStyle w:val="Normal"/>
              <w:spacing w:before="240" w:after="0"/>
              <w:rPr/>
            </w:pPr>
            <w:r>
              <w:rPr/>
            </w:r>
          </w:p>
        </w:tc>
        <w:tc>
          <w:tcPr>
            <w:tcW w:w="931" w:type="dxa"/>
            <w:tcBorders>
              <w:top w:val="single" w:sz="2" w:space="0" w:color="000000"/>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grubość warstwy</w:t>
            </w:r>
          </w:p>
          <w:p>
            <w:pPr>
              <w:pStyle w:val="Normal"/>
              <w:ind w:left="0" w:right="0" w:hanging="0"/>
              <w:jc w:val="center"/>
              <w:rPr>
                <w:sz w:val="20"/>
                <w:szCs w:val="20"/>
              </w:rPr>
            </w:pPr>
            <w:r>
              <w:rPr>
                <w:sz w:val="20"/>
                <w:szCs w:val="20"/>
              </w:rPr>
              <w:t>[ m ]</w:t>
            </w:r>
          </w:p>
        </w:tc>
        <w:tc>
          <w:tcPr>
            <w:tcW w:w="1007" w:type="dxa"/>
            <w:tcBorders>
              <w:top w:val="single" w:sz="2" w:space="0" w:color="000000"/>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liczba przejść</w:t>
            </w:r>
          </w:p>
          <w:p>
            <w:pPr>
              <w:pStyle w:val="Normal"/>
              <w:ind w:left="0" w:right="0" w:hanging="0"/>
              <w:jc w:val="center"/>
              <w:rPr>
                <w:sz w:val="20"/>
                <w:szCs w:val="20"/>
              </w:rPr>
            </w:pPr>
            <w:r>
              <w:rPr>
                <w:sz w:val="20"/>
                <w:szCs w:val="20"/>
              </w:rPr>
              <w:t>n ***</w:t>
            </w:r>
          </w:p>
        </w:tc>
        <w:tc>
          <w:tcPr>
            <w:tcW w:w="930" w:type="dxa"/>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grubość warstwy</w:t>
            </w:r>
          </w:p>
          <w:p>
            <w:pPr>
              <w:pStyle w:val="Normal"/>
              <w:ind w:left="0" w:right="0" w:hanging="0"/>
              <w:jc w:val="center"/>
              <w:rPr>
                <w:sz w:val="20"/>
                <w:szCs w:val="20"/>
              </w:rPr>
            </w:pPr>
            <w:r>
              <w:rPr>
                <w:sz w:val="20"/>
                <w:szCs w:val="20"/>
              </w:rPr>
              <w:t>[ m ]</w:t>
            </w:r>
          </w:p>
        </w:tc>
        <w:tc>
          <w:tcPr>
            <w:tcW w:w="989" w:type="dxa"/>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liczba przejść</w:t>
            </w:r>
          </w:p>
          <w:p>
            <w:pPr>
              <w:pStyle w:val="Normal"/>
              <w:ind w:left="0" w:right="0" w:hanging="0"/>
              <w:jc w:val="center"/>
              <w:rPr>
                <w:sz w:val="20"/>
                <w:szCs w:val="20"/>
              </w:rPr>
            </w:pPr>
            <w:r>
              <w:rPr>
                <w:sz w:val="20"/>
                <w:szCs w:val="20"/>
              </w:rPr>
              <w:t>n ***</w:t>
            </w:r>
          </w:p>
        </w:tc>
        <w:tc>
          <w:tcPr>
            <w:tcW w:w="931" w:type="dxa"/>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grubość warstwy</w:t>
            </w:r>
          </w:p>
          <w:p>
            <w:pPr>
              <w:pStyle w:val="Normal"/>
              <w:ind w:left="0" w:right="0" w:hanging="0"/>
              <w:jc w:val="center"/>
              <w:rPr>
                <w:sz w:val="20"/>
                <w:szCs w:val="20"/>
              </w:rPr>
            </w:pPr>
            <w:r>
              <w:rPr>
                <w:sz w:val="20"/>
                <w:szCs w:val="20"/>
              </w:rPr>
              <w:t>[ m ]</w:t>
            </w:r>
          </w:p>
        </w:tc>
        <w:tc>
          <w:tcPr>
            <w:tcW w:w="989" w:type="dxa"/>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liczba przejść</w:t>
            </w:r>
          </w:p>
          <w:p>
            <w:pPr>
              <w:pStyle w:val="Normal"/>
              <w:ind w:left="0" w:right="0" w:hanging="0"/>
              <w:jc w:val="center"/>
              <w:rPr>
                <w:sz w:val="20"/>
                <w:szCs w:val="20"/>
              </w:rPr>
            </w:pPr>
            <w:r>
              <w:rPr>
                <w:sz w:val="20"/>
                <w:szCs w:val="20"/>
              </w:rPr>
              <w:t>n ***</w:t>
            </w:r>
          </w:p>
        </w:tc>
        <w:tc>
          <w:tcPr>
            <w:tcW w:w="1399" w:type="dxa"/>
            <w:vMerge w:val="continue"/>
            <w:tcBorders>
              <w:left w:val="single" w:sz="2" w:space="0" w:color="000000"/>
              <w:right w:val="single" w:sz="2" w:space="0" w:color="000000"/>
            </w:tcBorders>
            <w:vAlign w:val="center"/>
          </w:tcPr>
          <w:p>
            <w:pPr>
              <w:pStyle w:val="Normal"/>
              <w:spacing w:before="240" w:after="0"/>
              <w:rPr/>
            </w:pPr>
            <w:r>
              <w:rPr/>
            </w:r>
          </w:p>
        </w:tc>
      </w:tr>
      <w:tr>
        <w:trPr/>
        <w:tc>
          <w:tcPr>
            <w:tcW w:w="2180" w:type="dxa"/>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Zagęszczarki</w:t>
            </w:r>
          </w:p>
          <w:p>
            <w:pPr>
              <w:pStyle w:val="Normal"/>
              <w:ind w:left="0" w:right="0" w:hanging="0"/>
              <w:jc w:val="center"/>
              <w:rPr>
                <w:sz w:val="20"/>
                <w:szCs w:val="20"/>
              </w:rPr>
            </w:pPr>
            <w:r>
              <w:rPr>
                <w:sz w:val="20"/>
                <w:szCs w:val="20"/>
              </w:rPr>
              <w:t>wibracyjne **</w:t>
            </w:r>
          </w:p>
        </w:tc>
        <w:tc>
          <w:tcPr>
            <w:tcW w:w="931"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0,3 do 0,5</w:t>
            </w:r>
          </w:p>
        </w:tc>
        <w:tc>
          <w:tcPr>
            <w:tcW w:w="1007"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4 do 8</w:t>
            </w:r>
          </w:p>
        </w:tc>
        <w:tc>
          <w:tcPr>
            <w:tcW w:w="930"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w:t>
            </w:r>
          </w:p>
        </w:tc>
        <w:tc>
          <w:tcPr>
            <w:tcW w:w="989"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w:t>
            </w:r>
          </w:p>
        </w:tc>
        <w:tc>
          <w:tcPr>
            <w:tcW w:w="931"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0,2 do 0,5</w:t>
            </w:r>
          </w:p>
        </w:tc>
        <w:tc>
          <w:tcPr>
            <w:tcW w:w="989"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4 do 8</w:t>
            </w:r>
          </w:p>
        </w:tc>
        <w:tc>
          <w:tcPr>
            <w:tcW w:w="1399" w:type="dxa"/>
            <w:tcBorders>
              <w:left w:val="single" w:sz="2" w:space="0" w:color="000000"/>
              <w:bottom w:val="single" w:sz="2" w:space="0" w:color="000000"/>
              <w:right w:val="single" w:sz="2" w:space="0" w:color="000000"/>
            </w:tcBorders>
            <w:vAlign w:val="center"/>
          </w:tcPr>
          <w:p>
            <w:pPr>
              <w:pStyle w:val="Normal"/>
              <w:spacing w:before="60" w:after="0"/>
              <w:ind w:left="0" w:right="0" w:hanging="0"/>
              <w:jc w:val="center"/>
              <w:rPr>
                <w:sz w:val="20"/>
                <w:szCs w:val="20"/>
              </w:rPr>
            </w:pPr>
            <w:r>
              <w:rPr>
                <w:sz w:val="20"/>
                <w:szCs w:val="20"/>
              </w:rPr>
              <w:t>6)</w:t>
            </w:r>
          </w:p>
        </w:tc>
      </w:tr>
      <w:tr>
        <w:trPr/>
        <w:tc>
          <w:tcPr>
            <w:tcW w:w="2180" w:type="dxa"/>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Ubijaki szybko uderzające</w:t>
            </w:r>
          </w:p>
        </w:tc>
        <w:tc>
          <w:tcPr>
            <w:tcW w:w="931"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0,2 do 0,4</w:t>
            </w:r>
          </w:p>
        </w:tc>
        <w:tc>
          <w:tcPr>
            <w:tcW w:w="1007"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2 do4</w:t>
            </w:r>
          </w:p>
        </w:tc>
        <w:tc>
          <w:tcPr>
            <w:tcW w:w="930"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0,1 do 0,3</w:t>
            </w:r>
          </w:p>
        </w:tc>
        <w:tc>
          <w:tcPr>
            <w:tcW w:w="989"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3 do 5</w:t>
            </w:r>
          </w:p>
        </w:tc>
        <w:tc>
          <w:tcPr>
            <w:tcW w:w="931"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0,2 do 0,4</w:t>
            </w:r>
          </w:p>
        </w:tc>
        <w:tc>
          <w:tcPr>
            <w:tcW w:w="989"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3 do 4</w:t>
            </w:r>
          </w:p>
        </w:tc>
        <w:tc>
          <w:tcPr>
            <w:tcW w:w="1399" w:type="dxa"/>
            <w:tcBorders>
              <w:left w:val="single" w:sz="2" w:space="0" w:color="000000"/>
              <w:bottom w:val="single" w:sz="2" w:space="0" w:color="000000"/>
              <w:right w:val="single" w:sz="2" w:space="0" w:color="000000"/>
            </w:tcBorders>
            <w:vAlign w:val="center"/>
          </w:tcPr>
          <w:p>
            <w:pPr>
              <w:pStyle w:val="Normal"/>
              <w:spacing w:before="60" w:after="0"/>
              <w:ind w:left="0" w:right="0" w:hanging="0"/>
              <w:jc w:val="center"/>
              <w:rPr>
                <w:sz w:val="20"/>
                <w:szCs w:val="20"/>
              </w:rPr>
            </w:pPr>
            <w:r>
              <w:rPr>
                <w:sz w:val="20"/>
                <w:szCs w:val="20"/>
              </w:rPr>
              <w:t>6)</w:t>
            </w:r>
          </w:p>
        </w:tc>
      </w:tr>
      <w:tr>
        <w:trPr/>
        <w:tc>
          <w:tcPr>
            <w:tcW w:w="2180" w:type="dxa"/>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Ubijaki o masie od 1 do 10 Mg zrzucane z wysokości od 5 do 10 m</w:t>
            </w:r>
          </w:p>
        </w:tc>
        <w:tc>
          <w:tcPr>
            <w:tcW w:w="931" w:type="dxa"/>
            <w:tcBorders>
              <w:left w:val="single" w:sz="2" w:space="0" w:color="000000"/>
              <w:bottom w:val="single" w:sz="2" w:space="0" w:color="000000"/>
            </w:tcBorders>
            <w:vAlign w:val="center"/>
          </w:tcPr>
          <w:p>
            <w:pPr>
              <w:pStyle w:val="Normal"/>
              <w:snapToGrid w:val="false"/>
              <w:spacing w:before="240" w:after="0"/>
              <w:ind w:left="0" w:right="0" w:hanging="0"/>
              <w:jc w:val="center"/>
              <w:rPr>
                <w:sz w:val="20"/>
                <w:szCs w:val="20"/>
              </w:rPr>
            </w:pPr>
            <w:r>
              <w:rPr>
                <w:sz w:val="20"/>
                <w:szCs w:val="20"/>
              </w:rPr>
            </w:r>
          </w:p>
          <w:p>
            <w:pPr>
              <w:pStyle w:val="Normal"/>
              <w:ind w:left="0" w:right="0" w:hanging="0"/>
              <w:jc w:val="center"/>
              <w:rPr>
                <w:sz w:val="20"/>
                <w:szCs w:val="20"/>
              </w:rPr>
            </w:pPr>
            <w:r>
              <w:rPr>
                <w:sz w:val="20"/>
                <w:szCs w:val="20"/>
              </w:rPr>
              <w:t>2,0 do 8,0</w:t>
            </w:r>
          </w:p>
        </w:tc>
        <w:tc>
          <w:tcPr>
            <w:tcW w:w="1007" w:type="dxa"/>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4 do 10 uderzeń w punkt</w:t>
            </w:r>
          </w:p>
        </w:tc>
        <w:tc>
          <w:tcPr>
            <w:tcW w:w="930" w:type="dxa"/>
            <w:tcBorders>
              <w:left w:val="single" w:sz="2" w:space="0" w:color="000000"/>
              <w:bottom w:val="single" w:sz="2" w:space="0" w:color="000000"/>
            </w:tcBorders>
            <w:vAlign w:val="center"/>
          </w:tcPr>
          <w:p>
            <w:pPr>
              <w:pStyle w:val="Normal"/>
              <w:snapToGrid w:val="false"/>
              <w:spacing w:before="240" w:after="0"/>
              <w:ind w:left="0" w:right="0" w:hanging="0"/>
              <w:jc w:val="center"/>
              <w:rPr>
                <w:sz w:val="20"/>
                <w:szCs w:val="20"/>
              </w:rPr>
            </w:pPr>
            <w:r>
              <w:rPr>
                <w:sz w:val="20"/>
                <w:szCs w:val="20"/>
              </w:rPr>
            </w:r>
          </w:p>
          <w:p>
            <w:pPr>
              <w:pStyle w:val="Normal"/>
              <w:ind w:left="0" w:right="0" w:hanging="0"/>
              <w:jc w:val="center"/>
              <w:rPr>
                <w:sz w:val="20"/>
                <w:szCs w:val="20"/>
              </w:rPr>
            </w:pPr>
            <w:r>
              <w:rPr>
                <w:sz w:val="20"/>
                <w:szCs w:val="20"/>
              </w:rPr>
              <w:t>1,0 do 4,0</w:t>
            </w:r>
          </w:p>
        </w:tc>
        <w:tc>
          <w:tcPr>
            <w:tcW w:w="989" w:type="dxa"/>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3 do 6 uderzeń w punkt</w:t>
            </w:r>
          </w:p>
        </w:tc>
        <w:tc>
          <w:tcPr>
            <w:tcW w:w="931" w:type="dxa"/>
            <w:tcBorders>
              <w:left w:val="single" w:sz="2" w:space="0" w:color="000000"/>
              <w:bottom w:val="single" w:sz="2" w:space="0" w:color="000000"/>
            </w:tcBorders>
            <w:vAlign w:val="center"/>
          </w:tcPr>
          <w:p>
            <w:pPr>
              <w:pStyle w:val="Normal"/>
              <w:snapToGrid w:val="false"/>
              <w:spacing w:before="240" w:after="0"/>
              <w:ind w:left="0" w:right="0" w:hanging="0"/>
              <w:jc w:val="center"/>
              <w:rPr>
                <w:sz w:val="20"/>
                <w:szCs w:val="20"/>
              </w:rPr>
            </w:pPr>
            <w:r>
              <w:rPr>
                <w:sz w:val="20"/>
                <w:szCs w:val="20"/>
              </w:rPr>
            </w:r>
          </w:p>
          <w:p>
            <w:pPr>
              <w:pStyle w:val="Normal"/>
              <w:ind w:left="0" w:right="0" w:hanging="0"/>
              <w:jc w:val="center"/>
              <w:rPr>
                <w:sz w:val="20"/>
                <w:szCs w:val="20"/>
              </w:rPr>
            </w:pPr>
            <w:r>
              <w:rPr>
                <w:sz w:val="20"/>
                <w:szCs w:val="20"/>
              </w:rPr>
              <w:t>1,0 do 5,0</w:t>
            </w:r>
          </w:p>
        </w:tc>
        <w:tc>
          <w:tcPr>
            <w:tcW w:w="989" w:type="dxa"/>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3 do 6 uderzeń w punkt</w:t>
            </w:r>
          </w:p>
        </w:tc>
        <w:tc>
          <w:tcPr>
            <w:tcW w:w="1399" w:type="dxa"/>
            <w:tcBorders>
              <w:left w:val="single" w:sz="2" w:space="0" w:color="000000"/>
              <w:bottom w:val="single" w:sz="2" w:space="0" w:color="000000"/>
              <w:right w:val="single" w:sz="2" w:space="0" w:color="000000"/>
            </w:tcBorders>
            <w:vAlign w:val="center"/>
          </w:tcPr>
          <w:p>
            <w:pPr>
              <w:pStyle w:val="Normal"/>
              <w:snapToGrid w:val="false"/>
              <w:spacing w:before="240" w:after="0"/>
              <w:ind w:left="0" w:right="0" w:hanging="0"/>
              <w:jc w:val="center"/>
              <w:rPr>
                <w:sz w:val="20"/>
                <w:szCs w:val="20"/>
              </w:rPr>
            </w:pPr>
            <w:r>
              <w:rPr>
                <w:sz w:val="20"/>
                <w:szCs w:val="20"/>
              </w:rPr>
            </w:r>
          </w:p>
        </w:tc>
      </w:tr>
    </w:tbl>
    <w:p>
      <w:pPr>
        <w:pStyle w:val="Normal"/>
        <w:spacing w:before="0" w:after="0"/>
        <w:rPr>
          <w:i/>
          <w:i/>
          <w:sz w:val="18"/>
          <w:szCs w:val="18"/>
        </w:rPr>
      </w:pPr>
      <w:r>
        <w:rPr>
          <w:i/>
          <w:sz w:val="18"/>
          <w:szCs w:val="18"/>
        </w:rPr>
        <w:t>*) Walce statyczne są mało przydatne w gruntach kamienistych.</w:t>
      </w:r>
    </w:p>
    <w:p>
      <w:pPr>
        <w:pStyle w:val="Normal"/>
        <w:spacing w:before="0" w:after="0"/>
        <w:rPr>
          <w:i/>
          <w:i/>
          <w:sz w:val="18"/>
          <w:szCs w:val="18"/>
        </w:rPr>
      </w:pPr>
      <w:r>
        <w:rPr>
          <w:i/>
          <w:sz w:val="18"/>
          <w:szCs w:val="18"/>
        </w:rPr>
        <w:t>**) Wibracyjnie należy zagęszczać warstwy grubości od 15 cm, cieńsze warstwy należy zagęszczać statycznie.</w:t>
      </w:r>
    </w:p>
    <w:p>
      <w:pPr>
        <w:pStyle w:val="Normal"/>
        <w:spacing w:before="0" w:after="0"/>
        <w:rPr>
          <w:i/>
          <w:i/>
          <w:sz w:val="18"/>
          <w:szCs w:val="18"/>
        </w:rPr>
      </w:pPr>
      <w:r>
        <w:rPr>
          <w:i/>
          <w:sz w:val="18"/>
          <w:szCs w:val="18"/>
        </w:rPr>
        <w:t>***) Wartości orientacyjne, właściwe należy ustalić na odcinku doświadczalnym.</w:t>
      </w:r>
    </w:p>
    <w:p>
      <w:pPr>
        <w:pStyle w:val="Normal"/>
        <w:spacing w:before="0" w:after="0"/>
        <w:rPr>
          <w:b/>
          <w:b/>
          <w:bCs/>
        </w:rPr>
      </w:pPr>
      <w:r>
        <w:rPr>
          <w:b/>
          <w:bCs/>
        </w:rPr>
        <w:t>Uwagi:</w:t>
      </w:r>
    </w:p>
    <w:p>
      <w:pPr>
        <w:pStyle w:val="Normal"/>
        <w:spacing w:before="0" w:after="0"/>
        <w:rPr>
          <w:i/>
          <w:i/>
          <w:sz w:val="18"/>
          <w:szCs w:val="18"/>
        </w:rPr>
      </w:pPr>
      <w:r>
        <w:rPr>
          <w:i/>
          <w:sz w:val="18"/>
          <w:szCs w:val="18"/>
        </w:rPr>
        <w:t>6) Zalecane do zasypek wąskich przekopów.</w:t>
      </w:r>
    </w:p>
    <w:p>
      <w:pPr>
        <w:pStyle w:val="Normal"/>
        <w:rPr>
          <w:i/>
          <w:i/>
          <w:sz w:val="18"/>
          <w:szCs w:val="18"/>
        </w:rPr>
      </w:pPr>
      <w:r>
        <w:rPr>
          <w:i/>
          <w:sz w:val="18"/>
          <w:szCs w:val="18"/>
        </w:rPr>
      </w:r>
    </w:p>
    <w:p>
      <w:pPr>
        <w:pStyle w:val="Nagwek1"/>
        <w:rPr/>
      </w:pPr>
      <w:r>
        <w:rPr/>
        <w:t>4. Wymagania dotyczące środków transportu</w:t>
      </w:r>
    </w:p>
    <w:p>
      <w:pPr>
        <w:pStyle w:val="Nagwek2"/>
        <w:rPr/>
      </w:pPr>
      <w:r>
        <w:rPr/>
        <w:t xml:space="preserve">4.1. Ogólne wymagania dotyczące środków transportu </w:t>
      </w:r>
    </w:p>
    <w:p>
      <w:pPr>
        <w:pStyle w:val="Normal"/>
        <w:rPr/>
      </w:pPr>
      <w:r>
        <w:rPr/>
        <w:t>Ogólne wymagania dotyczące środków transportu podano w ST „Wymagania Ogólne”.</w:t>
      </w:r>
    </w:p>
    <w:p>
      <w:pPr>
        <w:pStyle w:val="Nagwek2"/>
        <w:rPr/>
      </w:pPr>
      <w:r>
        <w:rPr/>
        <w:t>4.2. Szczegółowe wymagania dotyczące środków transportów</w:t>
      </w:r>
    </w:p>
    <w:p>
      <w:pPr>
        <w:pStyle w:val="Normal"/>
        <w:rPr/>
      </w:pPr>
      <w:r>
        <w:rPr/>
        <w:t>Środki transportu używane przy robotach ziemnych powinien być zaakceptowany przez Inspektora, w przypadku użycia środka transportu niezaakceptowanego przez Inspektora, zostanie on usunięty z placu budowy na koszt Wykonawcy.</w:t>
      </w:r>
    </w:p>
    <w:p>
      <w:pPr>
        <w:pStyle w:val="Nagwek4"/>
        <w:rPr/>
      </w:pPr>
      <w:r>
        <w:rPr/>
        <w:t xml:space="preserve">4.2.2. Szczegółowe wymagania dotyczące środków transportów do wykonania robót w zakresie wykonania </w:t>
      </w:r>
      <w:r>
        <w:rPr>
          <w:lang w:val="pl-PL"/>
        </w:rPr>
        <w:t>z</w:t>
      </w:r>
      <w:r>
        <w:rPr/>
        <w:t>asypów</w:t>
      </w:r>
    </w:p>
    <w:p>
      <w:pPr>
        <w:pStyle w:val="Normal"/>
        <w:rPr/>
      </w:pPr>
      <w:r>
        <w:rPr/>
        <w:t>Wybór środków transportu oraz metod transportu powinien być dostosowany do kategorii gruntu (materiału), jego objętości, technologii odspajania i załadunku oraz od odległości transportu.</w:t>
      </w:r>
    </w:p>
    <w:p>
      <w:pPr>
        <w:pStyle w:val="Normal"/>
        <w:rPr/>
      </w:pPr>
      <w:r>
        <w:rPr/>
        <w:t>Wykonawca ma obowiązek zorganizowania transportu z uwzględnieniem wymogów bezpieczeństwa zarówno w obrębie pasa drogowego, jak i poza nim.</w:t>
      </w:r>
    </w:p>
    <w:p>
      <w:pPr>
        <w:pStyle w:val="Normal"/>
        <w:rPr>
          <w:b/>
          <w:b/>
          <w:bCs/>
        </w:rPr>
      </w:pPr>
      <w:r>
        <w:rPr>
          <w:b/>
          <w:bCs/>
        </w:rPr>
        <w:t>UWAGA. Wykonawca w kosztach transportu musi uwzględnić wszelkie koszty związane z naprawą wszelkich szkód powstałych w wyniku korzystania dróg. Wykonawca zobowiązany jest indywidualnie ustalić z zarządcami dróg, warunki na jakich może z nich korzystać, dobrać odpowiednią nośność sprzętu itp.</w:t>
      </w:r>
    </w:p>
    <w:p>
      <w:pPr>
        <w:pStyle w:val="Normal"/>
        <w:rPr>
          <w:b/>
          <w:b/>
          <w:bCs/>
        </w:rPr>
      </w:pPr>
      <w:r>
        <w:rPr>
          <w:b/>
          <w:bCs/>
        </w:rPr>
        <w:t>Zwiększenie odległości transportu, jak również zmiana trasy przyjętej w ofercie nie może być podstawą roszczeń Wykonawcy, dotyczących dodatkowej zapłaty za transport i remont dróg.</w:t>
      </w:r>
    </w:p>
    <w:p>
      <w:pPr>
        <w:pStyle w:val="Normal"/>
        <w:rPr/>
      </w:pPr>
      <w:r>
        <w:rPr/>
      </w:r>
    </w:p>
    <w:p>
      <w:pPr>
        <w:pStyle w:val="Nagwek4"/>
        <w:rPr/>
      </w:pPr>
      <w:r>
        <w:rPr/>
        <w:t>5. Wymagania dotyczące wykonania robót budowlanych</w:t>
      </w:r>
    </w:p>
    <w:p>
      <w:pPr>
        <w:pStyle w:val="Nagwek2"/>
        <w:rPr/>
      </w:pPr>
      <w:r>
        <w:rPr/>
        <w:t xml:space="preserve">5.1. Ogólne wymagania dotyczące wykonania robót </w:t>
      </w:r>
    </w:p>
    <w:p>
      <w:pPr>
        <w:pStyle w:val="Normal"/>
        <w:rPr/>
      </w:pPr>
      <w:r>
        <w:rPr/>
        <w:t>Ogólne wymagania dotyczące wykonania robót w ST „Wymagania Ogólne”.</w:t>
      </w:r>
    </w:p>
    <w:p>
      <w:pPr>
        <w:pStyle w:val="Nagwek2"/>
        <w:rPr/>
      </w:pPr>
      <w:r>
        <w:rPr/>
        <w:t xml:space="preserve">5.2. Szczegółowe wymagania dotyczące wykonania robót </w:t>
      </w:r>
    </w:p>
    <w:p>
      <w:pPr>
        <w:pStyle w:val="Nagwek4"/>
        <w:rPr/>
      </w:pPr>
      <w:r>
        <w:rPr/>
        <w:t>5.2.1. Szczegółowe wymagania dotyczące wykonania robót związanych  z wykonaniem wykopów</w:t>
      </w:r>
    </w:p>
    <w:p>
      <w:pPr>
        <w:pStyle w:val="Nagwek4"/>
        <w:rPr/>
      </w:pPr>
      <w:r>
        <w:rPr/>
        <w:t>5.2.1.1 Roboty przygotowawcze</w:t>
      </w:r>
    </w:p>
    <w:p>
      <w:pPr>
        <w:pStyle w:val="Normal"/>
        <w:rPr/>
      </w:pPr>
      <w:r>
        <w:rPr/>
        <w:t>Przed przystąpieniem do robót ziemnych Wykonawca zobowiązany jest, do rozpoznania terenu, oczyszczenia i zabezpieczenia istniejących obiektów i instalacji zgodnie z normą PN</w:t>
        <w:noBreakHyphen/>
        <w:t>B</w:t>
        <w:noBreakHyphen/>
        <w:t>06050:1999 pkt 3.2.2. O ile będzie to konieczne, Wykonawca zobowiązany jest przygotowania dróg dojazdowych, Drogi dojazdowe należy oznakować jak miejsca niebezpieczne.</w:t>
      </w:r>
    </w:p>
    <w:p>
      <w:pPr>
        <w:pStyle w:val="Nagwek4"/>
        <w:rPr/>
      </w:pPr>
      <w:r>
        <w:rPr/>
      </w:r>
    </w:p>
    <w:p>
      <w:pPr>
        <w:pStyle w:val="Nagwek4"/>
        <w:rPr/>
      </w:pPr>
      <w:r>
        <w:rPr/>
        <w:t>5.2.1.</w:t>
      </w:r>
      <w:r>
        <w:rPr>
          <w:b/>
          <w:bCs/>
          <w:i/>
          <w:iCs/>
          <w:sz w:val="23"/>
          <w:szCs w:val="23"/>
        </w:rPr>
        <w:t>2</w:t>
      </w:r>
      <w:r>
        <w:rPr/>
        <w:t xml:space="preserve"> Wykopy</w:t>
      </w:r>
    </w:p>
    <w:p>
      <w:pPr>
        <w:pStyle w:val="Normal"/>
        <w:rPr/>
      </w:pPr>
      <w:r>
        <w:rPr/>
        <w:t>Metoda wykonywania wykopów powinna być dobrana do zakresu robót, rodzaju, rozmiarów i głębokości wykopów i ukształtowania terenu, rodzaju gruntów oraz posiadanego sprzętu.</w:t>
      </w:r>
    </w:p>
    <w:p>
      <w:pPr>
        <w:pStyle w:val="Normal"/>
        <w:rPr/>
      </w:pPr>
      <w:r>
        <w:rPr/>
        <w:t>Wykonawca powinien wykonywać wykopy w taki sposób, aby grunty o różnym stopniu przydatności do budowy zasypów były odspajane oddzielnie, w sposób uniemożliwiający ich wymieszanie. Odstępstwo od powyższego wymagania, uzasadnione skomplikowanym układem warstw geotechnicznych, wymaga zgody Inspektora.</w:t>
      </w:r>
    </w:p>
    <w:p>
      <w:pPr>
        <w:pStyle w:val="Normal"/>
        <w:rPr/>
      </w:pPr>
      <w:r>
        <w:rPr/>
        <w:t>Odspojone grunty przydatne do wykonania nasypów powinny być bezpośrednio wbudowane w nasyp lub przewiezione na odkład. O ile Inspektor dopuści czasowe składowanie odspojonych  gruntów, należy je odpowiednio zabezpieczyć przed nadmiernym zawilgoceniem.</w:t>
      </w:r>
    </w:p>
    <w:p>
      <w:pPr>
        <w:pStyle w:val="Normal"/>
        <w:rPr/>
      </w:pPr>
      <w:r>
        <w:rPr/>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pPr>
        <w:pStyle w:val="Normal"/>
        <w:rPr/>
      </w:pPr>
      <w:r>
        <w:rPr/>
        <w:t>Zabezpieczenie wykopów (obudowanie) należy wykonać z zgodnie z normą PN</w:t>
        <w:noBreakHyphen/>
        <w:t>B</w:t>
        <w:noBreakHyphen/>
        <w:t>06050:1999 pkt. 3.4.5.</w:t>
      </w:r>
    </w:p>
    <w:p>
      <w:pPr>
        <w:pStyle w:val="Nagwek4"/>
        <w:rPr/>
      </w:pPr>
      <w:r>
        <w:rPr/>
        <w:t>5.2.1.</w:t>
      </w:r>
      <w:r>
        <w:rPr>
          <w:b/>
          <w:bCs/>
          <w:i/>
          <w:iCs/>
          <w:sz w:val="23"/>
          <w:szCs w:val="23"/>
        </w:rPr>
        <w:t>3</w:t>
      </w:r>
      <w:r>
        <w:rPr/>
        <w:t xml:space="preserve"> Dokładność wykonania wykopów</w:t>
      </w:r>
    </w:p>
    <w:p>
      <w:pPr>
        <w:pStyle w:val="Normal"/>
        <w:rPr/>
      </w:pPr>
      <w:r>
        <w:rPr/>
        <w:t>Odchylenie osi korpusu ziemnego, w wykopie, od osi projektowanej nie powinny być większe niż ± 10 cm. Różnica w stosunku do projektowanych rzędnych robót ziemnych nie może przekraczać ± 5 cm.</w:t>
      </w:r>
    </w:p>
    <w:p>
      <w:pPr>
        <w:pStyle w:val="Normal"/>
        <w:rPr/>
      </w:pPr>
      <w:r>
        <w:rPr/>
        <w:t>Pochylenie skarp nie powinno różnić się od projektowanego o więcej niż 10% jego wartości wyrażonej tangensem kąta. Maksymalne nierówności na powierzchni skarp nie powinny przekraczać ± 10 cm przy pomiarze łatą 3-metrową albo, powinny być spełnione inne wymagania dotyczące nierówności, wynikające ze sposobu umocnienia powierzchni skarpy.</w:t>
      </w:r>
    </w:p>
    <w:p>
      <w:pPr>
        <w:pStyle w:val="Nagwek4"/>
        <w:rPr/>
      </w:pPr>
      <w:r>
        <w:rPr/>
      </w:r>
    </w:p>
    <w:p>
      <w:pPr>
        <w:pStyle w:val="Nagwek4"/>
        <w:rPr/>
      </w:pPr>
      <w:r>
        <w:rPr/>
        <w:t>5.2.2. Szczegółowe wymagania dotyczące wykonania robót związanych  z wykonaniem zasypów</w:t>
      </w:r>
    </w:p>
    <w:p>
      <w:pPr>
        <w:pStyle w:val="Nagwek4"/>
        <w:rPr/>
      </w:pPr>
      <w:r>
        <w:rPr/>
        <w:t>5.2.2.1 Zasady wykonywania zasypów</w:t>
      </w:r>
    </w:p>
    <w:p>
      <w:pPr>
        <w:pStyle w:val="Normal"/>
        <w:rPr/>
      </w:pPr>
      <w:r>
        <w:rPr/>
        <w:t>W celu zapewnienia stateczności budowli należy przestrzegać następujących zasad:</w:t>
      </w:r>
    </w:p>
    <w:p>
      <w:pPr>
        <w:pStyle w:val="Normal"/>
        <w:rPr/>
      </w:pPr>
      <w:r>
        <w:rPr/>
        <w:t>Zasyp należy wykonywać metodą warstwową, z gruntów przydatnych do budowy zasypów i powinien być wznoszony równomiernie na całej szerokości.</w:t>
      </w:r>
    </w:p>
    <w:p>
      <w:pPr>
        <w:pStyle w:val="Normal"/>
        <w:rPr/>
      </w:pPr>
      <w:r>
        <w:rPr/>
        <w:t>Grubość warstwy w stanie luźnym powinna być odpowiednio dobrana w zależności od rodzaju gruntu i sprzętu używanego do zagęszczania.</w:t>
      </w:r>
    </w:p>
    <w:p>
      <w:pPr>
        <w:pStyle w:val="Normal"/>
        <w:rPr/>
      </w:pPr>
      <w:r>
        <w:rPr/>
        <w:t>Grunty o różnych właściwościach należy wbudowywać w oddzielnych warstwach, o jednakowej grubości na całej szerokości wbudowywania.</w:t>
      </w:r>
    </w:p>
    <w:p>
      <w:pPr>
        <w:pStyle w:val="Normal"/>
        <w:rPr/>
      </w:pPr>
      <w:r>
        <w:rPr/>
        <w:t>Wykonywanie zasypów należy przerwać, jeżeli wilgotność gruntu przekracza wartość dopuszczalną, to znaczy jest większa od wilgotności optymalnej o więcej niż 10% jej wartości.</w:t>
      </w:r>
    </w:p>
    <w:p>
      <w:pPr>
        <w:pStyle w:val="Normal"/>
        <w:rPr/>
      </w:pPr>
      <w:r>
        <w:rPr/>
        <w:t>Na warstwie gruntu nadmiernie zawilgoconego nie wolno układać następnej warstwy gruntu.</w:t>
      </w:r>
    </w:p>
    <w:p>
      <w:pPr>
        <w:pStyle w:val="Normal"/>
        <w:rPr/>
      </w:pPr>
      <w:r>
        <w:rPr/>
        <w:t>Niedopuszczalne jest wykonywanie zasypów w temperaturze przy której nie jest możliwe osiągnięcie w zasypie wymaganego wskaźnika zagęszczenia gruntów.</w:t>
      </w:r>
    </w:p>
    <w:p>
      <w:pPr>
        <w:pStyle w:val="Normal"/>
        <w:rPr/>
      </w:pPr>
      <w:r>
        <w:rPr/>
        <w:t>Nie dopuszcza się wbudowania w zasyp gruntów zamarzniętych lub gruntów przemieszanych ze śniegiem lub lodem.</w:t>
      </w:r>
    </w:p>
    <w:p>
      <w:pPr>
        <w:pStyle w:val="Normal"/>
        <w:rPr/>
      </w:pPr>
      <w:r>
        <w:rPr/>
        <w:t>W czasie dużych opadów śniegu wykonywanie robót powinno być przerwane. Przed wznowieniem prac należy usunąć śnieg z powierzchni zasypu.</w:t>
      </w:r>
    </w:p>
    <w:p>
      <w:pPr>
        <w:pStyle w:val="Normal"/>
        <w:rPr/>
      </w:pPr>
      <w:r>
        <w:rPr/>
        <w:t>Jeżeli warstwa niezagęszczonego gruntu zamarzła, to nie należy jej przed rozmarznięciem zagęszczać ani układać na niej następnych warstw.</w:t>
      </w:r>
    </w:p>
    <w:p>
      <w:pPr>
        <w:pStyle w:val="Nagwek4"/>
        <w:rPr/>
      </w:pPr>
      <w:r>
        <w:rPr/>
        <w:t>5.2.2.2 Zagęszczenie gruntu</w:t>
      </w:r>
    </w:p>
    <w:p>
      <w:pPr>
        <w:pStyle w:val="Normal"/>
        <w:rPr/>
      </w:pPr>
      <w:r>
        <w:rPr/>
        <w:t>Każda warstwa gruntu jak najszybciej po jej rozłożeniu, powinna być zagęszczona z zastosowaniem sprzętu odpowiedniego dla danego rodzaju gruntu oraz występujących warunków.</w:t>
      </w:r>
    </w:p>
    <w:p>
      <w:pPr>
        <w:pStyle w:val="Normal"/>
        <w:rPr/>
      </w:pPr>
      <w:r>
        <w:rPr/>
        <w:t>Rozłożone warstwy gruntu należy zagęszczać od krawędzi zasypu w kierunku jego osi.</w:t>
      </w:r>
    </w:p>
    <w:p>
      <w:pPr>
        <w:pStyle w:val="Normal"/>
        <w:rPr/>
      </w:pPr>
      <w:r>
        <w:rPr/>
        <w:t>W zależności od rodzaju gruntu stan zagęszczenia zasypu należy określić następująco:</w:t>
      </w:r>
    </w:p>
    <w:p>
      <w:pPr>
        <w:pStyle w:val="Punkty"/>
        <w:numPr>
          <w:ilvl w:val="0"/>
          <w:numId w:val="30"/>
        </w:numPr>
        <w:rPr/>
      </w:pPr>
      <w:r>
        <w:rPr/>
        <w:t>w przypadku gruntów spoistych – wskaźnikiem zagęszczenia I</w:t>
      </w:r>
      <w:r>
        <w:rPr>
          <w:vertAlign w:val="subscript"/>
        </w:rPr>
        <w:t>S</w:t>
      </w:r>
      <w:r>
        <w:rPr/>
        <w:t>, według normalnej</w:t>
      </w:r>
    </w:p>
    <w:p>
      <w:pPr>
        <w:pStyle w:val="Punkty"/>
        <w:numPr>
          <w:ilvl w:val="0"/>
          <w:numId w:val="0"/>
        </w:numPr>
        <w:ind w:left="1080" w:right="0" w:hanging="0"/>
        <w:rPr/>
      </w:pPr>
      <w:r>
        <w:rPr/>
        <w:t>próby  Proctora</w:t>
      </w:r>
    </w:p>
    <w:p>
      <w:pPr>
        <w:pStyle w:val="Punkty"/>
        <w:numPr>
          <w:ilvl w:val="0"/>
          <w:numId w:val="31"/>
        </w:numPr>
        <w:rPr/>
      </w:pPr>
      <w:r>
        <w:rPr/>
        <w:t>w przypadków gruntów sypkich – stopniem zagęszczenia I</w:t>
      </w:r>
      <w:r>
        <w:rPr>
          <w:vertAlign w:val="subscript"/>
        </w:rPr>
        <w:t>D</w:t>
      </w:r>
    </w:p>
    <w:p>
      <w:pPr>
        <w:pStyle w:val="Normal"/>
        <w:rPr/>
      </w:pPr>
      <w:r>
        <w:rPr/>
      </w:r>
    </w:p>
    <w:p>
      <w:pPr>
        <w:pStyle w:val="Nagwek1"/>
        <w:rPr/>
      </w:pPr>
      <w:r>
        <w:rPr/>
        <w:t>6. Kontrola jakości robót i badania</w:t>
      </w:r>
    </w:p>
    <w:p>
      <w:pPr>
        <w:pStyle w:val="Nagwek2"/>
        <w:rPr/>
      </w:pPr>
      <w:r>
        <w:rPr/>
        <w:t>6.1. Ogólne zasady kontroli jakości robót i badań</w:t>
      </w:r>
    </w:p>
    <w:p>
      <w:pPr>
        <w:pStyle w:val="Normal"/>
        <w:rPr/>
      </w:pPr>
      <w:r>
        <w:rPr/>
        <w:t xml:space="preserve">Ogólne zasady kontroli jakości robót podano w ST  „Wymagania ogólne”. </w:t>
      </w:r>
    </w:p>
    <w:p>
      <w:pPr>
        <w:pStyle w:val="Nagwek2"/>
        <w:rPr/>
      </w:pPr>
      <w:r>
        <w:rPr/>
        <w:t xml:space="preserve">6.2. Szczegółowe zasady kontroli jakości robót </w:t>
      </w:r>
    </w:p>
    <w:p>
      <w:pPr>
        <w:pStyle w:val="Nagwek4"/>
        <w:rPr/>
      </w:pPr>
      <w:r>
        <w:rPr/>
        <w:t>6.2.1. Szczegółowe zasady kontroli jakości robót dotyczące wykonania robót związanych  z wykonaniem wykopów</w:t>
      </w:r>
    </w:p>
    <w:p>
      <w:pPr>
        <w:pStyle w:val="Nagwek4"/>
        <w:rPr/>
      </w:pPr>
      <w:r>
        <w:rPr/>
        <w:t>6.2.1.1 Sprawdzenie odwodnienia</w:t>
      </w:r>
    </w:p>
    <w:p>
      <w:pPr>
        <w:pStyle w:val="Normal"/>
        <w:rPr/>
      </w:pPr>
      <w:r>
        <w:rPr/>
        <w:t>Szczególną uwagę należy zwrócić na:</w:t>
      </w:r>
    </w:p>
    <w:p>
      <w:pPr>
        <w:pStyle w:val="Lista1"/>
        <w:numPr>
          <w:ilvl w:val="0"/>
          <w:numId w:val="32"/>
        </w:numPr>
        <w:rPr/>
      </w:pPr>
      <w:r>
        <w:rPr/>
        <w:t>właściwe ujęcie i odprowadzenie wód opadowych,</w:t>
      </w:r>
    </w:p>
    <w:p>
      <w:pPr>
        <w:pStyle w:val="Lista1"/>
        <w:numPr>
          <w:ilvl w:val="0"/>
          <w:numId w:val="33"/>
        </w:numPr>
        <w:rPr/>
      </w:pPr>
      <w:r>
        <w:rPr/>
        <w:t>właściwe ujęcie i odprowadzenie wysięków wodnych.</w:t>
      </w:r>
    </w:p>
    <w:p>
      <w:pPr>
        <w:pStyle w:val="Nagwek4"/>
        <w:rPr/>
      </w:pPr>
      <w:r>
        <w:rPr/>
        <w:t>6.2.1.2 Kontrola wykonania wykopów</w:t>
      </w:r>
    </w:p>
    <w:p>
      <w:pPr>
        <w:pStyle w:val="Normal"/>
        <w:ind w:left="0" w:right="0" w:hanging="0"/>
        <w:rPr/>
      </w:pPr>
      <w:r>
        <w:rPr/>
        <w:t>Kontrola wykonania wykopów polega na sprawdzeniu zgodności z wymaganiami określonymi w dokumentacji projektowej i ST. W czasie kontroli szczególną uwagę należy zwrócić na:</w:t>
      </w:r>
    </w:p>
    <w:p>
      <w:pPr>
        <w:pStyle w:val="Lista1"/>
        <w:numPr>
          <w:ilvl w:val="0"/>
          <w:numId w:val="34"/>
        </w:numPr>
        <w:rPr/>
      </w:pPr>
      <w:r>
        <w:rPr/>
        <w:t>sposób odspajania gruntów niepogarszający ich właściwości,</w:t>
      </w:r>
    </w:p>
    <w:p>
      <w:pPr>
        <w:pStyle w:val="Lista1"/>
        <w:numPr>
          <w:ilvl w:val="0"/>
          <w:numId w:val="35"/>
        </w:numPr>
        <w:rPr/>
      </w:pPr>
      <w:r>
        <w:rPr/>
        <w:t>zapewnienie stateczności skarp,</w:t>
      </w:r>
    </w:p>
    <w:p>
      <w:pPr>
        <w:pStyle w:val="Lista1"/>
        <w:numPr>
          <w:ilvl w:val="0"/>
          <w:numId w:val="36"/>
        </w:numPr>
        <w:rPr/>
      </w:pPr>
      <w:r>
        <w:rPr/>
        <w:t>odwodnienie wykopów w czasie wykonywania robót i po ich zakończeniu,</w:t>
      </w:r>
    </w:p>
    <w:p>
      <w:pPr>
        <w:pStyle w:val="Lista1"/>
        <w:numPr>
          <w:ilvl w:val="0"/>
          <w:numId w:val="37"/>
        </w:numPr>
        <w:rPr/>
      </w:pPr>
      <w:r>
        <w:rPr/>
        <w:t>dokładność wykonania wykopów (usytuowanie i wykończenie),</w:t>
      </w:r>
    </w:p>
    <w:p>
      <w:pPr>
        <w:pStyle w:val="Nagwek2"/>
        <w:rPr/>
      </w:pPr>
      <w:r>
        <w:rPr/>
        <w:t xml:space="preserve">6.2.2. Szczegółowe zasady kontroli jakości robót dotyczące wykonania </w:t>
      </w:r>
      <w:r>
        <w:rPr>
          <w:lang w:val="pl-PL"/>
        </w:rPr>
        <w:t>z</w:t>
      </w:r>
      <w:r>
        <w:rPr/>
        <w:t xml:space="preserve">asypów </w:t>
      </w:r>
    </w:p>
    <w:p>
      <w:pPr>
        <w:pStyle w:val="Normal"/>
        <w:rPr/>
      </w:pPr>
      <w:r>
        <w:rPr/>
        <w:t>Szczególną uwagę należy zwrócić na:</w:t>
      </w:r>
    </w:p>
    <w:p>
      <w:pPr>
        <w:pStyle w:val="Lista1"/>
        <w:numPr>
          <w:ilvl w:val="0"/>
          <w:numId w:val="38"/>
        </w:numPr>
        <w:rPr/>
      </w:pPr>
      <w:r>
        <w:rPr/>
        <w:t xml:space="preserve">badania przydatności gruntów do budowy </w:t>
      </w:r>
      <w:r>
        <w:rPr>
          <w:lang w:val="pl-PL"/>
        </w:rPr>
        <w:t>z</w:t>
      </w:r>
      <w:r>
        <w:rPr/>
        <w:t>asypów,</w:t>
      </w:r>
    </w:p>
    <w:p>
      <w:pPr>
        <w:pStyle w:val="Lista1"/>
        <w:numPr>
          <w:ilvl w:val="0"/>
          <w:numId w:val="39"/>
        </w:numPr>
        <w:rPr/>
      </w:pPr>
      <w:r>
        <w:rPr/>
        <w:t xml:space="preserve">badania prawidłowości wykonania poszczególnych warstw </w:t>
      </w:r>
      <w:r>
        <w:rPr>
          <w:lang w:val="pl-PL"/>
        </w:rPr>
        <w:t>z</w:t>
      </w:r>
      <w:r>
        <w:rPr/>
        <w:t>asypu,</w:t>
      </w:r>
    </w:p>
    <w:p>
      <w:pPr>
        <w:pStyle w:val="Lista1"/>
        <w:numPr>
          <w:ilvl w:val="0"/>
          <w:numId w:val="40"/>
        </w:numPr>
        <w:rPr/>
      </w:pPr>
      <w:r>
        <w:rPr/>
        <w:t xml:space="preserve">badania zagęszczenia </w:t>
      </w:r>
      <w:r>
        <w:rPr>
          <w:lang w:val="pl-PL"/>
        </w:rPr>
        <w:t>z</w:t>
      </w:r>
      <w:r>
        <w:rPr/>
        <w:t>asypu,</w:t>
      </w:r>
    </w:p>
    <w:p>
      <w:pPr>
        <w:pStyle w:val="Lista1"/>
        <w:numPr>
          <w:ilvl w:val="0"/>
          <w:numId w:val="41"/>
        </w:numPr>
        <w:rPr/>
      </w:pPr>
      <w:r>
        <w:rPr/>
        <w:t xml:space="preserve">pomiary kształtu </w:t>
      </w:r>
      <w:r>
        <w:rPr>
          <w:lang w:val="pl-PL"/>
        </w:rPr>
        <w:t>z</w:t>
      </w:r>
      <w:r>
        <w:rPr/>
        <w:t>asypu.</w:t>
      </w:r>
    </w:p>
    <w:p>
      <w:pPr>
        <w:pStyle w:val="Lista1"/>
        <w:numPr>
          <w:ilvl w:val="0"/>
          <w:numId w:val="42"/>
        </w:numPr>
        <w:rPr/>
      </w:pPr>
      <w:r>
        <w:rPr/>
        <w:t xml:space="preserve">odwodnienie </w:t>
      </w:r>
      <w:r>
        <w:rPr>
          <w:lang w:val="pl-PL"/>
        </w:rPr>
        <w:t>z</w:t>
      </w:r>
      <w:r>
        <w:rPr/>
        <w:t>asypu</w:t>
      </w:r>
    </w:p>
    <w:p>
      <w:pPr>
        <w:pStyle w:val="Nagwek1"/>
        <w:rPr/>
      </w:pPr>
      <w:r>
        <w:rPr/>
        <w:t>7. Wymagania dotyczące przedmiaru i obmiaru robót</w:t>
      </w:r>
    </w:p>
    <w:p>
      <w:pPr>
        <w:pStyle w:val="Nagwek2"/>
        <w:rPr/>
      </w:pPr>
      <w:r>
        <w:rPr/>
        <w:t xml:space="preserve">7.1. Ogólne zasady dotyczące przedmiaru i obmiaru robót </w:t>
      </w:r>
    </w:p>
    <w:p>
      <w:pPr>
        <w:pStyle w:val="Normal"/>
        <w:rPr/>
      </w:pPr>
      <w:r>
        <w:rPr/>
        <w:t xml:space="preserve">Ogólne zasady obmiaru robót podano w ST „Wymagania ogólne”. </w:t>
      </w:r>
    </w:p>
    <w:p>
      <w:pPr>
        <w:pStyle w:val="Nagwek2"/>
        <w:rPr/>
      </w:pPr>
      <w:r>
        <w:rPr/>
        <w:t xml:space="preserve">7.2. Jednostka obmiarowa </w:t>
      </w:r>
    </w:p>
    <w:p>
      <w:pPr>
        <w:pStyle w:val="Normal"/>
        <w:spacing w:lineRule="auto" w:line="360"/>
        <w:rPr/>
      </w:pPr>
      <w:r>
        <w:rPr/>
        <w:t>Jednostką obmiarową jest m</w:t>
      </w:r>
      <w:r>
        <w:rPr>
          <w:vertAlign w:val="superscript"/>
        </w:rPr>
        <w:t>3</w:t>
      </w:r>
      <w:r>
        <w:rPr/>
        <w:t xml:space="preserve"> (metr sześcienny) wykopu/ zasypu.</w:t>
      </w:r>
    </w:p>
    <w:p>
      <w:pPr>
        <w:pStyle w:val="Nagwek1"/>
        <w:rPr/>
      </w:pPr>
      <w:r>
        <w:rPr/>
        <w:t>8. Opis sposobu odbioru robót budowlanych</w:t>
      </w:r>
    </w:p>
    <w:p>
      <w:pPr>
        <w:pStyle w:val="Nagwek2"/>
        <w:rPr/>
      </w:pPr>
      <w:r>
        <w:rPr/>
        <w:t xml:space="preserve">8.1. Ogólne zasady odbioru robót </w:t>
      </w:r>
    </w:p>
    <w:p>
      <w:pPr>
        <w:pStyle w:val="Normal"/>
        <w:rPr/>
      </w:pPr>
      <w:r>
        <w:rPr/>
        <w:t xml:space="preserve">Ogólne zasady odbioru robót podano w ST „Wymagania ogólne”. </w:t>
      </w:r>
    </w:p>
    <w:p>
      <w:pPr>
        <w:pStyle w:val="Nagwek2"/>
        <w:rPr/>
      </w:pPr>
      <w:r>
        <w:rPr/>
        <w:t xml:space="preserve">8.2. Szczegółowe zasady odbioru robót </w:t>
      </w:r>
    </w:p>
    <w:p>
      <w:pPr>
        <w:pStyle w:val="Normal"/>
        <w:rPr/>
      </w:pPr>
      <w:r>
        <w:rPr/>
        <w:t>Roboty uznaje się za zgodne z dokumentacją projektową, specyfikacją techniczną, jeżeli wszystkie pomiary i badania z zachowaniem wymagań określonych w punkcie 6 dały wyniki pozytywne.</w:t>
      </w:r>
    </w:p>
    <w:p>
      <w:pPr>
        <w:pStyle w:val="Nagwek1"/>
        <w:rPr/>
      </w:pPr>
      <w:r>
        <w:rPr/>
        <w:t>9. Opis sposobu rozliczenia robót tymczasowych i prac towarzyszących</w:t>
      </w:r>
    </w:p>
    <w:p>
      <w:pPr>
        <w:pStyle w:val="Nagwek2"/>
        <w:rPr/>
      </w:pPr>
      <w:r>
        <w:rPr/>
        <w:t>9.1. Wymagania ogólne,</w:t>
      </w:r>
    </w:p>
    <w:p>
      <w:pPr>
        <w:pStyle w:val="Normal"/>
        <w:rPr/>
      </w:pPr>
      <w:r>
        <w:rPr/>
        <w:t xml:space="preserve">Ogólne zasady dotyczące rozliczeń robót podano w ST „Wymagania ogólne”. </w:t>
      </w:r>
    </w:p>
    <w:p>
      <w:pPr>
        <w:pStyle w:val="Nagwek2"/>
        <w:rPr/>
      </w:pPr>
      <w:r>
        <w:rPr/>
        <w:t>9.2. Sposób rozliczenia robót podstawowych,</w:t>
      </w:r>
    </w:p>
    <w:p>
      <w:pPr>
        <w:pStyle w:val="Normal"/>
        <w:rPr/>
      </w:pPr>
      <w:r>
        <w:rPr/>
        <w:t>Cena wykonania 1 m</w:t>
      </w:r>
      <w:r>
        <w:rPr>
          <w:vertAlign w:val="superscript"/>
        </w:rPr>
        <w:t>3</w:t>
      </w:r>
      <w:r>
        <w:rPr/>
        <w:t xml:space="preserve"> wykopu/zasypu obejmuje:</w:t>
      </w:r>
    </w:p>
    <w:p>
      <w:pPr>
        <w:pStyle w:val="Lista1"/>
        <w:numPr>
          <w:ilvl w:val="0"/>
          <w:numId w:val="43"/>
        </w:numPr>
        <w:rPr/>
      </w:pPr>
      <w:r>
        <w:rPr/>
        <w:t>prace pomiarowe i roboty przygotowawcze,</w:t>
      </w:r>
    </w:p>
    <w:p>
      <w:pPr>
        <w:pStyle w:val="Lista1"/>
        <w:numPr>
          <w:ilvl w:val="0"/>
          <w:numId w:val="44"/>
        </w:numPr>
        <w:rPr/>
      </w:pPr>
      <w:r>
        <w:rPr/>
        <w:t>oznakowanie robót,</w:t>
      </w:r>
    </w:p>
    <w:p>
      <w:pPr>
        <w:pStyle w:val="Lista1"/>
        <w:numPr>
          <w:ilvl w:val="0"/>
          <w:numId w:val="45"/>
        </w:numPr>
        <w:rPr/>
      </w:pPr>
      <w:r>
        <w:rPr/>
        <w:t>odspojenie skały przy użyciu sprzętu mechanicznego (pneumatycznego, elektrycznego, spalinowego),</w:t>
      </w:r>
    </w:p>
    <w:p>
      <w:pPr>
        <w:pStyle w:val="Lista1"/>
        <w:numPr>
          <w:ilvl w:val="0"/>
          <w:numId w:val="46"/>
        </w:numPr>
        <w:rPr/>
      </w:pPr>
      <w:r>
        <w:rPr/>
        <w:t>odwodnienie wykopu na czas jego wykonywania,</w:t>
      </w:r>
    </w:p>
    <w:p>
      <w:pPr>
        <w:pStyle w:val="Lista1"/>
        <w:numPr>
          <w:ilvl w:val="0"/>
          <w:numId w:val="47"/>
        </w:numPr>
        <w:rPr/>
      </w:pPr>
      <w:r>
        <w:rPr/>
        <w:t>rozdrobnienie,</w:t>
      </w:r>
    </w:p>
    <w:p>
      <w:pPr>
        <w:pStyle w:val="Lista1"/>
        <w:numPr>
          <w:ilvl w:val="0"/>
          <w:numId w:val="48"/>
        </w:numPr>
        <w:rPr/>
      </w:pPr>
      <w:r>
        <w:rPr/>
        <w:t>załadunek i odwiezienie urobku na odkład,</w:t>
      </w:r>
    </w:p>
    <w:p>
      <w:pPr>
        <w:pStyle w:val="Lista1"/>
        <w:numPr>
          <w:ilvl w:val="0"/>
          <w:numId w:val="49"/>
        </w:numPr>
        <w:rPr/>
      </w:pPr>
      <w:r>
        <w:rPr/>
        <w:t>rozplantowanie urobku na odkładzie,</w:t>
      </w:r>
    </w:p>
    <w:p>
      <w:pPr>
        <w:pStyle w:val="Lista1"/>
        <w:numPr>
          <w:ilvl w:val="0"/>
          <w:numId w:val="50"/>
        </w:numPr>
        <w:rPr/>
      </w:pPr>
      <w:r>
        <w:rPr/>
        <w:t>profilowanie dna wykopu,</w:t>
      </w:r>
    </w:p>
    <w:p>
      <w:pPr>
        <w:pStyle w:val="Lista1"/>
        <w:numPr>
          <w:ilvl w:val="0"/>
          <w:numId w:val="51"/>
        </w:numPr>
        <w:rPr/>
      </w:pPr>
      <w:r>
        <w:rPr/>
        <w:t>zasyp mechaniczny i ręczny gruntem z odkładu lub dowożonego z miejsca składowania,</w:t>
      </w:r>
    </w:p>
    <w:p>
      <w:pPr>
        <w:pStyle w:val="Lista1"/>
        <w:numPr>
          <w:ilvl w:val="0"/>
          <w:numId w:val="52"/>
        </w:numPr>
        <w:rPr/>
      </w:pPr>
      <w:r>
        <w:rPr/>
        <w:t>wykonanie, a następnie rozebranie dróg dojazdowych,</w:t>
      </w:r>
    </w:p>
    <w:p>
      <w:pPr>
        <w:pStyle w:val="Lista1"/>
        <w:numPr>
          <w:ilvl w:val="0"/>
          <w:numId w:val="53"/>
        </w:numPr>
        <w:rPr/>
      </w:pPr>
      <w:r>
        <w:rPr/>
        <w:t>rekultywację terenu,</w:t>
      </w:r>
    </w:p>
    <w:p>
      <w:pPr>
        <w:pStyle w:val="Lista1"/>
        <w:numPr>
          <w:ilvl w:val="0"/>
          <w:numId w:val="54"/>
        </w:numPr>
        <w:rPr/>
      </w:pPr>
      <w:r>
        <w:rPr/>
        <w:t>zapewnienie bezpieczeństwa prowadzonych robót.</w:t>
      </w:r>
    </w:p>
    <w:p>
      <w:pPr>
        <w:pStyle w:val="Nagwek2"/>
        <w:rPr/>
      </w:pPr>
      <w:r>
        <w:rPr/>
        <w:t>9.3. Sposób rozliczenia robót tymczasowych i prac towarzyszących,</w:t>
      </w:r>
    </w:p>
    <w:p>
      <w:pPr>
        <w:pStyle w:val="Normal"/>
        <w:rPr/>
      </w:pPr>
      <w:r>
        <w:rPr/>
        <w:t>W cenie robót podstawowych należy ująć koszt wykonania wszelkich innych robót pomocniczych niezbędnych do wykonania robót podstawowych.</w:t>
      </w:r>
    </w:p>
    <w:p>
      <w:pPr>
        <w:pStyle w:val="Nagwek1"/>
        <w:rPr/>
      </w:pPr>
      <w:r>
        <w:rPr/>
        <w:t>10. Dokumenty odniesienia</w:t>
      </w:r>
    </w:p>
    <w:p>
      <w:pPr>
        <w:pStyle w:val="Nagwek2"/>
        <w:rPr/>
      </w:pPr>
      <w:r>
        <w:rPr/>
        <w:t>10.1 Wymagania Ogólne</w:t>
      </w:r>
    </w:p>
    <w:p>
      <w:pPr>
        <w:pStyle w:val="Normal"/>
        <w:rPr/>
      </w:pPr>
      <w:r>
        <w:rPr/>
        <w:t>wg. specyfikacji PZ.00.00.00 „Wymagania Ogólne”.</w:t>
      </w:r>
    </w:p>
    <w:p>
      <w:pPr>
        <w:pStyle w:val="Nagwek2"/>
        <w:rPr/>
      </w:pPr>
      <w:r>
        <w:rPr/>
        <w:t>10.2 Normy</w:t>
      </w:r>
    </w:p>
    <w:tbl>
      <w:tblPr>
        <w:tblW w:w="9642" w:type="dxa"/>
        <w:jc w:val="left"/>
        <w:tblInd w:w="0" w:type="dxa"/>
        <w:tblLayout w:type="fixed"/>
        <w:tblCellMar>
          <w:top w:w="55" w:type="dxa"/>
          <w:left w:w="55" w:type="dxa"/>
          <w:bottom w:w="55" w:type="dxa"/>
          <w:right w:w="55" w:type="dxa"/>
        </w:tblCellMar>
      </w:tblPr>
      <w:tblGrid>
        <w:gridCol w:w="2974"/>
        <w:gridCol w:w="6668"/>
      </w:tblGrid>
      <w:tr>
        <w:trPr>
          <w:tblHeader w:val="true"/>
        </w:trPr>
        <w:tc>
          <w:tcPr>
            <w:tcW w:w="2974" w:type="dxa"/>
            <w:tcBorders/>
          </w:tcPr>
          <w:p>
            <w:pPr>
              <w:pStyle w:val="Normal"/>
              <w:spacing w:before="240" w:after="0"/>
              <w:rPr/>
            </w:pPr>
            <w:r>
              <w:rPr/>
              <w:t>PN-B-02481:1998</w:t>
            </w:r>
          </w:p>
        </w:tc>
        <w:tc>
          <w:tcPr>
            <w:tcW w:w="6668" w:type="dxa"/>
            <w:tcBorders/>
          </w:tcPr>
          <w:p>
            <w:pPr>
              <w:pStyle w:val="Normal"/>
              <w:spacing w:before="240" w:after="0"/>
              <w:rPr/>
            </w:pPr>
            <w:r>
              <w:rPr/>
              <w:t>Geotechnika. Terminologia podstawowa, symbole literowe i jednostki miar.</w:t>
            </w:r>
          </w:p>
        </w:tc>
      </w:tr>
      <w:tr>
        <w:trPr/>
        <w:tc>
          <w:tcPr>
            <w:tcW w:w="2974" w:type="dxa"/>
            <w:tcBorders/>
          </w:tcPr>
          <w:p>
            <w:pPr>
              <w:pStyle w:val="Normal"/>
              <w:spacing w:before="240" w:after="0"/>
              <w:rPr/>
            </w:pPr>
            <w:r>
              <w:rPr/>
              <w:t>PN</w:t>
              <w:noBreakHyphen/>
              <w:t>B</w:t>
              <w:noBreakHyphen/>
              <w:t>06050:1999</w:t>
            </w:r>
          </w:p>
        </w:tc>
        <w:tc>
          <w:tcPr>
            <w:tcW w:w="6668" w:type="dxa"/>
            <w:tcBorders/>
          </w:tcPr>
          <w:p>
            <w:pPr>
              <w:pStyle w:val="Normal"/>
              <w:spacing w:before="240" w:after="0"/>
              <w:rPr/>
            </w:pPr>
            <w:r>
              <w:rPr/>
              <w:t>Geotechnika - Roboty ziemne - Wymagania ogólne</w:t>
            </w:r>
          </w:p>
        </w:tc>
      </w:tr>
    </w:tbl>
    <w:p>
      <w:pPr>
        <w:pStyle w:val="Nagwek2"/>
        <w:rPr/>
      </w:pPr>
      <w:r>
        <w:rPr/>
        <w:t>10.3 Przepisy przywołane</w:t>
      </w:r>
    </w:p>
    <w:p>
      <w:pPr>
        <w:pStyle w:val="Normal"/>
        <w:jc w:val="left"/>
        <w:rPr/>
      </w:pPr>
      <w:r>
        <w:rPr/>
        <w:t>Nie występują.</w:t>
      </w:r>
    </w:p>
    <w:sectPr>
      <w:footerReference w:type="default" r:id="rId2"/>
      <w:type w:val="nextPage"/>
      <w:pgSz w:w="11906" w:h="16838"/>
      <w:pgMar w:left="1417" w:right="1133" w:gutter="0" w:header="0" w:top="1417" w:footer="51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Cambria">
    <w:charset w:val="ee"/>
    <w:family w:val="roman"/>
    <w:pitch w:val="variable"/>
  </w:font>
  <w:font w:name="Tahoma">
    <w:charset w:val="ee"/>
    <w:family w:val="roman"/>
    <w:pitch w:val="variable"/>
  </w:font>
  <w:font w:name="Segoe UI">
    <w:charset w:val="ee"/>
    <w:family w:val="roman"/>
    <w:pitch w:val="variable"/>
  </w:font>
  <w:font w:name="Calibri">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Courier New">
    <w:charset w:val="ee"/>
    <w:family w:val="modern"/>
    <w:pitch w:val="default"/>
  </w:font>
  <w:font w:name="Wingdings">
    <w:charset w:val="02"/>
    <w:family w:val="auto"/>
    <w:pitch w:val="variable"/>
  </w:font>
  <w:font w:name="Liberation Sans">
    <w:altName w:val="Arial"/>
    <w:charset w:val="ee"/>
    <w:family w:val="roman"/>
    <w:pitch w:val="variable"/>
  </w:font>
  <w:font w:name="Times New">
    <w:altName w:val="Times New Roman"/>
    <w:charset w:val="ee"/>
    <w:family w:val="roman"/>
    <w:pitch w:val="variable"/>
  </w:font>
  <w:font w:name="Times New">
    <w:altName w:val="Times New Roman"/>
    <w:charset w:val="ee"/>
    <w:family w:val="roman"/>
    <w:pitch w:val="default"/>
  </w:font>
  <w:font w:name="Times New Roman">
    <w:charset w:val="01"/>
    <w:family w:val="roman"/>
    <w:pitch w:val="variable"/>
  </w:font>
  <w:font w:name="Courier New">
    <w:charset w:val="01"/>
    <w:family w:val="modern"/>
    <w:pitch w:val="fixed"/>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spacing w:before="240" w:after="0"/>
      <w:jc w:val="right"/>
      <w:rPr/>
    </w:pPr>
    <w:r>
      <w:rPr/>
      <w:fldChar w:fldCharType="begin"/>
    </w:r>
    <w:r>
      <w:rPr/>
      <w:instrText> PAGE </w:instrText>
    </w:r>
    <w:r>
      <w:rPr/>
      <w:fldChar w:fldCharType="separate"/>
    </w:r>
    <w:r>
      <w:rPr/>
      <w:t>33</w:t>
    </w:r>
    <w:r>
      <w:rPr/>
      <w:fldChar w:fldCharType="end"/>
    </w:r>
  </w:p>
  <w:p>
    <w:pPr>
      <w:pStyle w:val="Stopka"/>
      <w:rPr/>
    </w:pPr>
    <w:r>
      <w:rPr/>
    </w:r>
  </w:p>
  <w:p>
    <w:pPr>
      <w:pStyle w:val="Normal"/>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60" w:hanging="360"/>
      </w:pPr>
    </w:lvl>
    <w:lvl w:ilvl="1">
      <w:start w:val="1"/>
      <w:numFmt w:val="decimal"/>
      <w:lvlText w:val="%1.%2."/>
      <w:lvlJc w:val="left"/>
      <w:pPr>
        <w:tabs>
          <w:tab w:val="num" w:pos="1080"/>
        </w:tabs>
        <w:ind w:left="567" w:hanging="207"/>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lvl w:ilvl="0">
      <w:start w:val="1"/>
      <w:numFmt w:val="decimal"/>
      <w:lvlText w:val="%1."/>
      <w:lvlJc w:val="left"/>
      <w:pPr>
        <w:tabs>
          <w:tab w:val="num" w:pos="0"/>
        </w:tabs>
        <w:ind w:left="1080" w:hanging="360"/>
      </w:pPr>
    </w:lvl>
    <w:lvl w:ilvl="1">
      <w:start w:val="1"/>
      <w:numFmt w:val="decimal"/>
      <w:lvlText w:val="%1.%2."/>
      <w:lvlJc w:val="left"/>
      <w:pPr>
        <w:tabs>
          <w:tab w:val="num" w:pos="0"/>
        </w:tabs>
        <w:ind w:left="720" w:hanging="720"/>
      </w:pPr>
      <w:rPr>
        <w:sz w:val="22"/>
      </w:rPr>
    </w:lvl>
    <w:lvl w:ilvl="2">
      <w:start w:val="1"/>
      <w:numFmt w:val="bullet"/>
      <w:lvlText w:val=""/>
      <w:lvlJc w:val="left"/>
      <w:pPr>
        <w:tabs>
          <w:tab w:val="num" w:pos="0"/>
        </w:tabs>
        <w:ind w:left="720" w:hanging="720"/>
      </w:pPr>
      <w:rPr>
        <w:rFonts w:ascii="Symbol" w:hAnsi="Symbol" w:cs="Symbol" w:hint="default"/>
        <w:sz w:val="22"/>
        <w:i w:val="false"/>
        <w:b/>
      </w:rPr>
    </w:lvl>
    <w:lvl w:ilvl="3">
      <w:start w:val="1"/>
      <w:numFmt w:val="decimal"/>
      <w:lvlText w:val="%1.%2.%3.%4."/>
      <w:lvlJc w:val="left"/>
      <w:pPr>
        <w:tabs>
          <w:tab w:val="num" w:pos="0"/>
        </w:tabs>
        <w:ind w:left="1800" w:hanging="108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2160" w:hanging="144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520" w:hanging="1800"/>
      </w:pPr>
    </w:lvl>
    <w:lvl w:ilvl="8">
      <w:start w:val="1"/>
      <w:numFmt w:val="decimal"/>
      <w:lvlText w:val="%1.%2.%3.%4.%5.%6.%7.%8.%9."/>
      <w:lvlJc w:val="left"/>
      <w:pPr>
        <w:tabs>
          <w:tab w:val="num" w:pos="0"/>
        </w:tabs>
        <w:ind w:left="2520" w:hanging="1800"/>
      </w:pPr>
    </w:lvl>
  </w:abstractNum>
  <w:abstractNum w:abstractNumId="3">
    <w:lvl w:ilvl="0">
      <w:start w:val="1"/>
      <w:numFmt w:val="upperRoman"/>
      <w:lvlText w:val="%1."/>
      <w:lvlJc w:val="left"/>
      <w:pPr>
        <w:tabs>
          <w:tab w:val="num" w:pos="0"/>
        </w:tabs>
        <w:ind w:left="1080" w:hanging="72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lvl w:ilvl="0">
      <w:start w:val="1"/>
      <w:numFmt w:val="bullet"/>
      <w:lvlText w:val="-"/>
      <w:lvlJc w:val="left"/>
      <w:pPr>
        <w:tabs>
          <w:tab w:val="num" w:pos="0"/>
        </w:tabs>
        <w:ind w:left="2160" w:hanging="360"/>
      </w:pPr>
      <w:rPr>
        <w:rFonts w:ascii="Times New Roman" w:hAnsi="Times New Roman" w:cs="Times New Roman"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5">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8">
    <w:lvl w:ilvl="0">
      <w:start w:val="1"/>
      <w:numFmt w:val="decimal"/>
      <w:lvlText w:val="%1)"/>
      <w:lvlJc w:val="left"/>
      <w:pPr>
        <w:tabs>
          <w:tab w:val="num" w:pos="0"/>
        </w:tabs>
        <w:ind w:left="1770" w:hanging="360"/>
      </w:pPr>
    </w:lvl>
    <w:lvl w:ilvl="1">
      <w:start w:val="1"/>
      <w:numFmt w:val="lowerLetter"/>
      <w:lvlText w:val="%2."/>
      <w:lvlJc w:val="left"/>
      <w:pPr>
        <w:tabs>
          <w:tab w:val="num" w:pos="0"/>
        </w:tabs>
        <w:ind w:left="2490" w:hanging="360"/>
      </w:pPr>
    </w:lvl>
    <w:lvl w:ilvl="2">
      <w:start w:val="1"/>
      <w:numFmt w:val="lowerRoman"/>
      <w:lvlText w:val="%3."/>
      <w:lvlJc w:val="right"/>
      <w:pPr>
        <w:tabs>
          <w:tab w:val="num" w:pos="0"/>
        </w:tabs>
        <w:ind w:left="3210" w:hanging="180"/>
      </w:pPr>
    </w:lvl>
    <w:lvl w:ilvl="3">
      <w:start w:val="1"/>
      <w:numFmt w:val="decimal"/>
      <w:lvlText w:val="%4."/>
      <w:lvlJc w:val="left"/>
      <w:pPr>
        <w:tabs>
          <w:tab w:val="num" w:pos="0"/>
        </w:tabs>
        <w:ind w:left="3930" w:hanging="360"/>
      </w:pPr>
    </w:lvl>
    <w:lvl w:ilvl="4">
      <w:start w:val="1"/>
      <w:numFmt w:val="lowerLetter"/>
      <w:lvlText w:val="%5."/>
      <w:lvlJc w:val="left"/>
      <w:pPr>
        <w:tabs>
          <w:tab w:val="num" w:pos="0"/>
        </w:tabs>
        <w:ind w:left="4650" w:hanging="360"/>
      </w:pPr>
    </w:lvl>
    <w:lvl w:ilvl="5">
      <w:start w:val="1"/>
      <w:numFmt w:val="lowerRoman"/>
      <w:lvlText w:val="%6."/>
      <w:lvlJc w:val="right"/>
      <w:pPr>
        <w:tabs>
          <w:tab w:val="num" w:pos="0"/>
        </w:tabs>
        <w:ind w:left="5370" w:hanging="180"/>
      </w:pPr>
    </w:lvl>
    <w:lvl w:ilvl="6">
      <w:start w:val="1"/>
      <w:numFmt w:val="decimal"/>
      <w:lvlText w:val="%7."/>
      <w:lvlJc w:val="left"/>
      <w:pPr>
        <w:tabs>
          <w:tab w:val="num" w:pos="0"/>
        </w:tabs>
        <w:ind w:left="6090" w:hanging="360"/>
      </w:pPr>
    </w:lvl>
    <w:lvl w:ilvl="7">
      <w:start w:val="1"/>
      <w:numFmt w:val="lowerLetter"/>
      <w:lvlText w:val="%8."/>
      <w:lvlJc w:val="left"/>
      <w:pPr>
        <w:tabs>
          <w:tab w:val="num" w:pos="0"/>
        </w:tabs>
        <w:ind w:left="6810" w:hanging="360"/>
      </w:pPr>
    </w:lvl>
    <w:lvl w:ilvl="8">
      <w:start w:val="1"/>
      <w:numFmt w:val="lowerRoman"/>
      <w:lvlText w:val="%9."/>
      <w:lvlJc w:val="right"/>
      <w:pPr>
        <w:tabs>
          <w:tab w:val="num" w:pos="0"/>
        </w:tabs>
        <w:ind w:left="7530" w:hanging="180"/>
      </w:pPr>
    </w:lvl>
  </w:abstractNum>
  <w:abstractNum w:abstractNumId="9">
    <w:lvl w:ilvl="0">
      <w:start w:val="1"/>
      <w:numFmt w:val="lowerLetter"/>
      <w:lvlText w:val="%1)"/>
      <w:lvlJc w:val="left"/>
      <w:pPr>
        <w:tabs>
          <w:tab w:val="num" w:pos="0"/>
        </w:tabs>
        <w:ind w:left="1440" w:hanging="360"/>
      </w:pPr>
      <w:rPr>
        <w:sz w:val="22"/>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0">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1">
    <w:lvl w:ilvl="0">
      <w:start w:val="2"/>
      <w:numFmt w:val="bullet"/>
      <w:lvlText w:val="•"/>
      <w:lvlJc w:val="left"/>
      <w:pPr>
        <w:tabs>
          <w:tab w:val="num" w:pos="0"/>
        </w:tabs>
        <w:ind w:left="1080" w:hanging="360"/>
      </w:pPr>
      <w:rPr>
        <w:rFonts w:ascii="Arial" w:hAnsi="Arial" w:cs="Aria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3">
    <w:lvl w:ilvl="0">
      <w:start w:val="1"/>
      <w:numFmt w:val="bullet"/>
      <w:lvlText w:val="-"/>
      <w:lvlJc w:val="left"/>
      <w:pPr>
        <w:tabs>
          <w:tab w:val="num" w:pos="0"/>
        </w:tabs>
        <w:ind w:left="1440" w:hanging="360"/>
      </w:pPr>
      <w:rPr>
        <w:rFonts w:ascii="Times New Roman" w:hAnsi="Times New Roman" w:cs="Times New Roman"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4">
    <w:lvl w:ilvl="0">
      <w:numFmt w:val="bullet"/>
      <w:lvlText w:val="-"/>
      <w:lvlJc w:val="left"/>
      <w:pPr>
        <w:tabs>
          <w:tab w:val="num" w:pos="0"/>
        </w:tabs>
        <w:ind w:left="953" w:hanging="360"/>
      </w:pPr>
      <w:rPr>
        <w:rFonts w:ascii="Times New Roman" w:hAnsi="Times New Roman" w:cs="Times New Roman" w:hint="default"/>
        <w:sz w:val="24"/>
        <w:szCs w:val="24"/>
        <w:w w:val="97"/>
        <w:lang w:val="pl-PL" w:eastAsia="en-US" w:bidi="ar-SA"/>
      </w:rPr>
    </w:lvl>
    <w:lvl w:ilvl="1">
      <w:start w:val="0"/>
      <w:numFmt w:val="bullet"/>
      <w:lvlText w:val=""/>
      <w:lvlJc w:val="left"/>
      <w:pPr>
        <w:tabs>
          <w:tab w:val="num" w:pos="0"/>
        </w:tabs>
        <w:ind w:left="1849" w:hanging="360"/>
      </w:pPr>
      <w:rPr>
        <w:rFonts w:ascii="Symbol" w:hAnsi="Symbol" w:cs="Symbol" w:hint="default"/>
        <w:lang w:val="pl-PL" w:eastAsia="en-US" w:bidi="ar-SA"/>
      </w:rPr>
    </w:lvl>
    <w:lvl w:ilvl="2">
      <w:start w:val="0"/>
      <w:numFmt w:val="bullet"/>
      <w:lvlText w:val=""/>
      <w:lvlJc w:val="left"/>
      <w:pPr>
        <w:tabs>
          <w:tab w:val="num" w:pos="0"/>
        </w:tabs>
        <w:ind w:left="2738" w:hanging="360"/>
      </w:pPr>
      <w:rPr>
        <w:rFonts w:ascii="Symbol" w:hAnsi="Symbol" w:cs="Symbol" w:hint="default"/>
        <w:lang w:val="pl-PL" w:eastAsia="en-US" w:bidi="ar-SA"/>
      </w:rPr>
    </w:lvl>
    <w:lvl w:ilvl="3">
      <w:start w:val="0"/>
      <w:numFmt w:val="bullet"/>
      <w:lvlText w:val=""/>
      <w:lvlJc w:val="left"/>
      <w:pPr>
        <w:tabs>
          <w:tab w:val="num" w:pos="0"/>
        </w:tabs>
        <w:ind w:left="3627" w:hanging="360"/>
      </w:pPr>
      <w:rPr>
        <w:rFonts w:ascii="Symbol" w:hAnsi="Symbol" w:cs="Symbol" w:hint="default"/>
        <w:lang w:val="pl-PL" w:eastAsia="en-US" w:bidi="ar-SA"/>
      </w:rPr>
    </w:lvl>
    <w:lvl w:ilvl="4">
      <w:start w:val="0"/>
      <w:numFmt w:val="bullet"/>
      <w:lvlText w:val=""/>
      <w:lvlJc w:val="left"/>
      <w:pPr>
        <w:tabs>
          <w:tab w:val="num" w:pos="0"/>
        </w:tabs>
        <w:ind w:left="4516" w:hanging="360"/>
      </w:pPr>
      <w:rPr>
        <w:rFonts w:ascii="Symbol" w:hAnsi="Symbol" w:cs="Symbol" w:hint="default"/>
        <w:lang w:val="pl-PL" w:eastAsia="en-US" w:bidi="ar-SA"/>
      </w:rPr>
    </w:lvl>
    <w:lvl w:ilvl="5">
      <w:start w:val="0"/>
      <w:numFmt w:val="bullet"/>
      <w:lvlText w:val=""/>
      <w:lvlJc w:val="left"/>
      <w:pPr>
        <w:tabs>
          <w:tab w:val="num" w:pos="0"/>
        </w:tabs>
        <w:ind w:left="5405" w:hanging="360"/>
      </w:pPr>
      <w:rPr>
        <w:rFonts w:ascii="Symbol" w:hAnsi="Symbol" w:cs="Symbol" w:hint="default"/>
        <w:lang w:val="pl-PL" w:eastAsia="en-US" w:bidi="ar-SA"/>
      </w:rPr>
    </w:lvl>
    <w:lvl w:ilvl="6">
      <w:start w:val="0"/>
      <w:numFmt w:val="bullet"/>
      <w:lvlText w:val=""/>
      <w:lvlJc w:val="left"/>
      <w:pPr>
        <w:tabs>
          <w:tab w:val="num" w:pos="0"/>
        </w:tabs>
        <w:ind w:left="6294" w:hanging="360"/>
      </w:pPr>
      <w:rPr>
        <w:rFonts w:ascii="Symbol" w:hAnsi="Symbol" w:cs="Symbol" w:hint="default"/>
        <w:lang w:val="pl-PL" w:eastAsia="en-US" w:bidi="ar-SA"/>
      </w:rPr>
    </w:lvl>
    <w:lvl w:ilvl="7">
      <w:start w:val="0"/>
      <w:numFmt w:val="bullet"/>
      <w:lvlText w:val=""/>
      <w:lvlJc w:val="left"/>
      <w:pPr>
        <w:tabs>
          <w:tab w:val="num" w:pos="0"/>
        </w:tabs>
        <w:ind w:left="7183" w:hanging="360"/>
      </w:pPr>
      <w:rPr>
        <w:rFonts w:ascii="Symbol" w:hAnsi="Symbol" w:cs="Symbol" w:hint="default"/>
        <w:lang w:val="pl-PL" w:eastAsia="en-US" w:bidi="ar-SA"/>
      </w:rPr>
    </w:lvl>
    <w:lvl w:ilvl="8">
      <w:start w:val="0"/>
      <w:numFmt w:val="bullet"/>
      <w:lvlText w:val=""/>
      <w:lvlJc w:val="left"/>
      <w:pPr>
        <w:tabs>
          <w:tab w:val="num" w:pos="0"/>
        </w:tabs>
        <w:ind w:left="8072" w:hanging="360"/>
      </w:pPr>
      <w:rPr>
        <w:rFonts w:ascii="Symbol" w:hAnsi="Symbol" w:cs="Symbol" w:hint="default"/>
        <w:lang w:val="pl-PL" w:eastAsia="en-US" w:bidi="ar-SA"/>
      </w:rPr>
    </w:lvl>
  </w:abstractNum>
  <w:abstractNum w:abstractNumId="15">
    <w:lvl w:ilvl="0">
      <w:start w:val="1"/>
      <w:numFmt w:val="bullet"/>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16">
    <w:lvl w:ilvl="0">
      <w:start w:val="1"/>
      <w:numFmt w:val="bullet"/>
      <w:lvlText w:val="-"/>
      <w:lvlJc w:val="left"/>
      <w:pPr>
        <w:tabs>
          <w:tab w:val="num" w:pos="0"/>
        </w:tabs>
        <w:ind w:left="1440" w:hanging="360"/>
      </w:pPr>
      <w:rPr>
        <w:rFonts w:ascii="Times New Roman" w:hAnsi="Times New Roman" w:cs="Times New Roman"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7">
    <w:lvl w:ilvl="0">
      <w:start w:val="1"/>
      <w:numFmt w:val="bullet"/>
      <w:lvlText w:val="–"/>
      <w:lvlJc w:val="left"/>
      <w:pPr>
        <w:tabs>
          <w:tab w:val="num" w:pos="1381"/>
        </w:tabs>
        <w:ind w:left="1361" w:hanging="340"/>
      </w:pPr>
      <w:rPr>
        <w:rFonts w:ascii="Times New Roman" w:hAnsi="Times New Roman" w:cs="Times New Roman" w:hint="default"/>
        <w:sz w:val="16"/>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bullet"/>
      <w:lvlText w:val=""/>
      <w:lvlJc w:val="left"/>
      <w:pPr>
        <w:tabs>
          <w:tab w:val="num" w:pos="1758"/>
        </w:tabs>
        <w:ind w:left="1758" w:hanging="39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lowerLetter"/>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bullet"/>
      <w:lvlText w:val="–"/>
      <w:lvlJc w:val="left"/>
      <w:pPr>
        <w:tabs>
          <w:tab w:val="num" w:pos="1381"/>
        </w:tabs>
        <w:ind w:left="1361" w:hanging="340"/>
      </w:pPr>
      <w:rPr>
        <w:rFonts w:ascii="Times New Roman" w:hAnsi="Times New Roman" w:cs="Times New Roman" w:hint="default"/>
        <w:sz w:val="16"/>
        <w:color w:val="000000"/>
      </w:rPr>
    </w:lvl>
  </w:abstractNum>
  <w:abstractNum w:abstractNumId="22">
    <w:lvl w:ilvl="0">
      <w:start w:val="1"/>
      <w:numFmt w:val="bullet"/>
      <w:lvlText w:val=""/>
      <w:lvlJc w:val="left"/>
      <w:pPr>
        <w:tabs>
          <w:tab w:val="num" w:pos="0"/>
        </w:tabs>
        <w:ind w:left="720" w:hanging="360"/>
      </w:pPr>
      <w:rPr>
        <w:rFonts w:ascii="Symbol" w:hAnsi="Symbol" w:cs="Symbol" w:hint="default"/>
      </w:rPr>
    </w:lvl>
  </w:abstractNum>
  <w:abstractNum w:abstractNumId="23">
    <w:lvl w:ilvl="0">
      <w:start w:val="1"/>
      <w:numFmt w:val="lowerLetter"/>
      <w:lvlText w:val="%1)"/>
      <w:lvlJc w:val="left"/>
      <w:pPr>
        <w:tabs>
          <w:tab w:val="num" w:pos="0"/>
        </w:tabs>
        <w:ind w:left="1080" w:hanging="360"/>
      </w:pPr>
      <w:rPr/>
    </w:lvl>
  </w:abstractNum>
  <w:abstractNum w:abstractNumId="2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26">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27">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28">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29">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30">
    <w:abstractNumId w:val="23"/>
    <w:lvlOverride w:ilvl="0">
      <w:lvl w:ilvl="0">
        <w:start w:val="1"/>
        <w:numFmt w:val="lowerLetter"/>
        <w:lvlText w:val="%1)"/>
        <w:lvlJc w:val="left"/>
        <w:pPr>
          <w:tabs>
            <w:tab w:val="num" w:pos="0"/>
          </w:tabs>
          <w:ind w:left="1080" w:hanging="360"/>
        </w:p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31">
    <w:abstractNumId w:val="23"/>
    <w:lvlOverride w:ilvl="0">
      <w:lvl w:ilvl="0">
        <w:start w:val="1"/>
        <w:numFmt w:val="lowerLetter"/>
        <w:lvlText w:val="%1)"/>
        <w:lvlJc w:val="left"/>
        <w:pPr>
          <w:tabs>
            <w:tab w:val="num" w:pos="0"/>
          </w:tabs>
          <w:ind w:left="1080" w:hanging="360"/>
        </w:p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32">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33">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34">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35">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36">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37">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38">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39">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40">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41">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42">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43">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44">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45">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46">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47">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48">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49">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50">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51">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52">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53">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 w:numId="54">
    <w:abstractNumId w:val="22"/>
    <w:lvlOverride w:ilvl="0">
      <w:lvl w:ilvl="0">
        <w:start w:val="1"/>
        <w:numFmt w:val="bullet"/>
        <w:lvlText w:val=""/>
        <w:lvlJc w:val="left"/>
        <w:pPr>
          <w:tabs>
            <w:tab w:val="num" w:pos="0"/>
          </w:tabs>
          <w:ind w:left="720" w:hanging="360"/>
        </w:pPr>
        <w:rPr>
          <w:rFonts w:ascii="Symbol" w:hAnsi="Symbol" w:cs="Symbol" w:hint="default"/>
        </w:rPr>
      </w:lvl>
    </w:lvlOverride>
    <w:lvlOverride w:ilvl="1">
      <w:lvl w:ilvl="1">
        <w:start w:val="1"/>
        <w:numFmt w:val="decimal"/>
        <w:lvlText w:val="%2."/>
        <w:lvlJc w:val="left"/>
        <w:pPr>
          <w:tabs>
            <w:tab w:val="num" w:pos="1080"/>
          </w:tabs>
          <w:ind w:left="1080" w:hanging="360"/>
        </w:pPr>
      </w:lvl>
    </w:lvlOverride>
    <w:lvlOverride w:ilvl="2">
      <w:lvl w:ilvl="2">
        <w:start w:val="1"/>
        <w:numFmt w:val="decimal"/>
        <w:lvlText w:val="%3."/>
        <w:lvlJc w:val="left"/>
        <w:pPr>
          <w:tabs>
            <w:tab w:val="num" w:pos="1440"/>
          </w:tabs>
          <w:ind w:left="1440" w:hanging="360"/>
        </w:pPr>
      </w:lvl>
    </w:lvlOverride>
    <w:lvlOverride w:ilvl="3">
      <w:lvl w:ilvl="3">
        <w:start w:val="1"/>
        <w:numFmt w:val="decimal"/>
        <w:lvlText w:val="%4."/>
        <w:lvlJc w:val="left"/>
        <w:pPr>
          <w:tabs>
            <w:tab w:val="num" w:pos="1800"/>
          </w:tabs>
          <w:ind w:left="1800" w:hanging="360"/>
        </w:pPr>
      </w:lvl>
    </w:lvlOverride>
    <w:lvlOverride w:ilvl="4">
      <w:lvl w:ilvl="4">
        <w:start w:val="1"/>
        <w:numFmt w:val="decimal"/>
        <w:lvlText w:val="%5."/>
        <w:lvlJc w:val="left"/>
        <w:pPr>
          <w:tabs>
            <w:tab w:val="num" w:pos="2160"/>
          </w:tabs>
          <w:ind w:left="2160" w:hanging="360"/>
        </w:pPr>
      </w:lvl>
    </w:lvlOverride>
    <w:lvlOverride w:ilvl="5">
      <w:lvl w:ilvl="5">
        <w:start w:val="1"/>
        <w:numFmt w:val="decimal"/>
        <w:lvlText w:val="%6."/>
        <w:lvlJc w:val="left"/>
        <w:pPr>
          <w:tabs>
            <w:tab w:val="num" w:pos="2520"/>
          </w:tabs>
          <w:ind w:left="2520" w:hanging="360"/>
        </w:pPr>
      </w:lvl>
    </w:lvlOverride>
    <w:lvlOverride w:ilvl="6">
      <w:lvl w:ilvl="6">
        <w:start w:val="1"/>
        <w:numFmt w:val="decimal"/>
        <w:lvlText w:val="%7."/>
        <w:lvlJc w:val="left"/>
        <w:pPr>
          <w:tabs>
            <w:tab w:val="num" w:pos="2880"/>
          </w:tabs>
          <w:ind w:left="2880" w:hanging="360"/>
        </w:pPr>
      </w:lvl>
    </w:lvlOverride>
    <w:lvlOverride w:ilvl="7">
      <w:lvl w:ilvl="7">
        <w:start w:val="1"/>
        <w:numFmt w:val="decimal"/>
        <w:lvlText w:val="%8."/>
        <w:lvlJc w:val="left"/>
        <w:pPr>
          <w:tabs>
            <w:tab w:val="num" w:pos="3240"/>
          </w:tabs>
          <w:ind w:left="3240" w:hanging="360"/>
        </w:pPr>
      </w:lvl>
    </w:lvlOverride>
    <w:lvlOverride w:ilvl="8">
      <w:lvl w:ilvl="8">
        <w:start w:val="1"/>
        <w:numFmt w:val="decimal"/>
        <w:lvlText w:val="%9."/>
        <w:lvlJc w:val="left"/>
        <w:pPr>
          <w:tabs>
            <w:tab w:val="num" w:pos="3600"/>
          </w:tabs>
          <w:ind w:left="3600" w:hanging="360"/>
        </w:pPr>
      </w:lvl>
    </w:lvlOverride>
  </w:num>
</w:numbering>
</file>

<file path=word/settings.xml><?xml version="1.0" encoding="utf-8"?>
<w:settings xmlns:w="http://schemas.openxmlformats.org/wordprocessingml/2006/main">
  <w:zoom w:percent="90"/>
  <w:embedSystemFonts/>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semiHidden="0" w:unhideWhenUsed="0" w:qFormat="1"/>
    <w:lsdException w:name="heading 3" w:uiPriority="0" w:semiHidden="0" w:unhideWhenUsed="0"/>
    <w:lsdException w:name="heading 4" w:uiPriority="0" w:semiHidden="0" w:unhideWhenUsed="0"/>
    <w:lsdException w:name="heading 5" w:uiPriority="0" w:semiHidden="0" w:unhideWhenUsed="0"/>
    <w:lsdException w:name="heading 6" w:uiPriority="9" w:qFormat="1"/>
    <w:lsdException w:name="heading 7" w:uiPriority="9" w:qFormat="1"/>
    <w:lsdException w:name="heading 8" w:uiPriority="0" w:semiHidden="0" w:unhideWhenUsed="0"/>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uiPriority="0" w:semiHidden="0" w:unhideWhenUsed="0"/>
    <w:lsdException w:name="Default Paragraph Font" w:uiPriority="1"/>
    <w:lsdException w:name="Body Text" w:uiPriority="0"/>
    <w:lsdException w:name="Body Text Indent" w:uiPriority="0"/>
    <w:lsdException w:name="Subtitle" w:uiPriority="0" w:semiHidden="0" w:unhideWhenUsed="0"/>
    <w:lsdException w:name="Body Text Indent 2" w:uiPriority="0"/>
    <w:lsdException w:name="Strong" w:uiPriority="22" w:semiHidden="0" w:unhideWhenUsed="0"/>
    <w:lsdException w:name="Emphasis" w:uiPriority="20" w:semiHidden="0" w:unhideWhenUsed="0"/>
    <w:lsdException w:name="Table Grid" w:uiPriority="59" w:semiHidden="0" w:unhideWhenUsed="0"/>
    <w:lsdException w:name="Placeholder Text" w:unhideWhenUsed="0"/>
    <w:lsdException w:name="No Spacing" w:uiPriority="1"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uiPriority="34" w:semiHidden="0" w:unhideWhenUsed="0" w:qFormat="1"/>
    <w:lsdException w:name="Quote" w:uiPriority="29" w:semiHidden="0" w:unhideWhenUsed="0"/>
    <w:lsdException w:name="Intense Quote" w:uiPriority="30" w:semiHidden="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0" w:unhideWhenUsed="0"/>
    <w:lsdException w:name="Intense Emphasis" w:uiPriority="21" w:semiHidden="0" w:unhideWhenUsed="0"/>
    <w:lsdException w:name="Subtle Reference" w:uiPriority="31" w:semiHidden="0" w:unhideWhenUsed="0"/>
    <w:lsdException w:name="Intense Reference" w:uiPriority="32" w:semiHidden="0" w:unhideWhenUsed="0"/>
    <w:lsdException w:name="Book Title" w:uiPriority="33" w:semiHidden="0" w:unhideWhenUsed="0"/>
    <w:lsdException w:name="Bibliography" w:uiPriority="37"/>
    <w:lsdException w:name="TOC Heading" w:uiPriority="0" w:semiHidden="0" w:unhideWhenUsed="0"/>
  </w:latentStyles>
  <w:style w:type="paragraph" w:styleId="Normal" w:default="1">
    <w:name w:val="Normal"/>
    <w:qFormat/>
    <w:rsid w:val="00eb6749"/>
    <w:pPr>
      <w:widowControl/>
      <w:suppressAutoHyphens w:val="true"/>
      <w:bidi w:val="0"/>
      <w:spacing w:lineRule="auto" w:line="360" w:before="240" w:after="0"/>
      <w:jc w:val="both"/>
    </w:pPr>
    <w:rPr>
      <w:rFonts w:ascii="Arial" w:hAnsi="Arial" w:eastAsia="SimSun" w:cs="Arial"/>
      <w:color w:val="auto"/>
      <w:kern w:val="0"/>
      <w:sz w:val="22"/>
      <w:szCs w:val="20"/>
      <w:lang w:val="pl-PL" w:eastAsia="ar-SA" w:bidi="ar-SA"/>
    </w:rPr>
  </w:style>
  <w:style w:type="paragraph" w:styleId="Nagwek1">
    <w:name w:val="Heading 1"/>
    <w:basedOn w:val="Normal"/>
    <w:next w:val="Tretekstu"/>
    <w:qFormat/>
    <w:pPr>
      <w:keepNext w:val="true"/>
      <w:keepLines/>
      <w:tabs>
        <w:tab w:val="clear" w:pos="720"/>
        <w:tab w:val="left" w:pos="432" w:leader="none"/>
      </w:tabs>
      <w:spacing w:before="480" w:after="0"/>
      <w:ind w:left="432" w:hanging="432"/>
      <w:jc w:val="left"/>
      <w:outlineLvl w:val="0"/>
    </w:pPr>
    <w:rPr>
      <w:rFonts w:cs="font271"/>
      <w:b/>
      <w:bCs/>
      <w:sz w:val="36"/>
      <w:szCs w:val="36"/>
    </w:rPr>
  </w:style>
  <w:style w:type="paragraph" w:styleId="Nagwek2">
    <w:name w:val="Heading 2"/>
    <w:basedOn w:val="Normal"/>
    <w:next w:val="Tretekstu"/>
    <w:link w:val="Nagwek2Znak1"/>
    <w:qFormat/>
    <w:pPr>
      <w:keepNext w:val="true"/>
      <w:keepLines/>
      <w:tabs>
        <w:tab w:val="clear" w:pos="720"/>
        <w:tab w:val="left" w:pos="576" w:leader="none"/>
      </w:tabs>
      <w:spacing w:before="200" w:after="0"/>
      <w:ind w:left="576" w:hanging="576"/>
      <w:outlineLvl w:val="1"/>
    </w:pPr>
    <w:rPr>
      <w:rFonts w:cs="font271"/>
      <w:b/>
      <w:bCs/>
      <w:sz w:val="32"/>
      <w:szCs w:val="32"/>
    </w:rPr>
  </w:style>
  <w:style w:type="paragraph" w:styleId="Nagwek3">
    <w:name w:val="Heading 3"/>
    <w:basedOn w:val="Normal"/>
    <w:next w:val="Tretekstu"/>
    <w:qFormat/>
    <w:pPr>
      <w:keepNext w:val="true"/>
      <w:keepLines/>
      <w:tabs>
        <w:tab w:val="left" w:pos="720" w:leader="none"/>
      </w:tabs>
      <w:spacing w:before="200" w:after="0"/>
      <w:ind w:left="720" w:hanging="720"/>
      <w:outlineLvl w:val="2"/>
    </w:pPr>
    <w:rPr>
      <w:rFonts w:ascii="Cambria" w:hAnsi="Cambria" w:cs="font271"/>
      <w:b/>
      <w:bCs/>
      <w:color w:val="4F81BD"/>
    </w:rPr>
  </w:style>
  <w:style w:type="paragraph" w:styleId="Nagwek4">
    <w:name w:val="Heading 4"/>
    <w:basedOn w:val="Normal"/>
    <w:next w:val="Tretekstu"/>
    <w:qFormat/>
    <w:pPr>
      <w:keepNext w:val="true"/>
      <w:tabs>
        <w:tab w:val="clear" w:pos="720"/>
        <w:tab w:val="left" w:pos="864" w:leader="none"/>
      </w:tabs>
      <w:suppressAutoHyphens w:val="false"/>
      <w:spacing w:lineRule="atLeast" w:line="100" w:before="240" w:after="60"/>
      <w:ind w:left="864" w:hanging="864"/>
      <w:jc w:val="left"/>
      <w:outlineLvl w:val="3"/>
    </w:pPr>
    <w:rPr>
      <w:rFonts w:ascii="Times New Roman" w:hAnsi="Times New Roman" w:eastAsia="Times New Roman" w:cs="Times New Roman"/>
      <w:b/>
      <w:bCs/>
      <w:sz w:val="28"/>
      <w:szCs w:val="28"/>
    </w:rPr>
  </w:style>
  <w:style w:type="paragraph" w:styleId="Nagwek5">
    <w:name w:val="Heading 5"/>
    <w:basedOn w:val="Normal"/>
    <w:next w:val="Tretekstu"/>
    <w:qFormat/>
    <w:pPr>
      <w:keepNext w:val="true"/>
      <w:keepLines/>
      <w:tabs>
        <w:tab w:val="clear" w:pos="720"/>
        <w:tab w:val="left" w:pos="1008" w:leader="none"/>
      </w:tabs>
      <w:spacing w:before="200" w:after="0"/>
      <w:ind w:left="1008" w:hanging="1008"/>
      <w:outlineLvl w:val="4"/>
    </w:pPr>
    <w:rPr>
      <w:rFonts w:ascii="Cambria" w:hAnsi="Cambria" w:cs="font271"/>
      <w:color w:val="243F60"/>
    </w:rPr>
  </w:style>
  <w:style w:type="paragraph" w:styleId="Nagwek8">
    <w:name w:val="Heading 8"/>
    <w:basedOn w:val="Normal"/>
    <w:next w:val="Tretekstu"/>
    <w:qFormat/>
    <w:pPr>
      <w:keepNext w:val="true"/>
      <w:keepLines/>
      <w:tabs>
        <w:tab w:val="clear" w:pos="720"/>
        <w:tab w:val="left" w:pos="1440" w:leader="none"/>
      </w:tabs>
      <w:spacing w:before="200" w:after="0"/>
      <w:ind w:left="1440" w:hanging="1440"/>
      <w:outlineLvl w:val="7"/>
    </w:pPr>
    <w:rPr>
      <w:rFonts w:ascii="Cambria" w:hAnsi="Cambria" w:cs="font271"/>
      <w:color w:val="404040"/>
      <w:sz w:val="20"/>
    </w:rPr>
  </w:style>
  <w:style w:type="character" w:styleId="DefaultParagraphFont" w:default="1">
    <w:name w:val="Default Paragraph Font"/>
    <w:uiPriority w:val="1"/>
    <w:semiHidden/>
    <w:unhideWhenUsed/>
    <w:qFormat/>
    <w:rPr/>
  </w:style>
  <w:style w:type="character" w:styleId="Domylnaczcionkaakapitu1" w:customStyle="1">
    <w:name w:val="Domyślna czcionka akapitu1"/>
    <w:qFormat/>
    <w:rPr/>
  </w:style>
  <w:style w:type="character" w:styleId="Nagwek1Znak" w:customStyle="1">
    <w:name w:val="Nagłówek 1 Znak"/>
    <w:qFormat/>
    <w:rPr>
      <w:rFonts w:ascii="Arial" w:hAnsi="Arial" w:cs="Arial"/>
      <w:b/>
      <w:bCs/>
      <w:sz w:val="36"/>
      <w:szCs w:val="36"/>
    </w:rPr>
  </w:style>
  <w:style w:type="character" w:styleId="Nagwek2Znak" w:customStyle="1">
    <w:name w:val="Nagłówek 2 Znak"/>
    <w:qFormat/>
    <w:rPr>
      <w:rFonts w:ascii="Arial" w:hAnsi="Arial" w:cs="Arial"/>
      <w:b/>
      <w:bCs/>
      <w:sz w:val="32"/>
      <w:szCs w:val="32"/>
    </w:rPr>
  </w:style>
  <w:style w:type="character" w:styleId="Czeinternetowe">
    <w:name w:val="Łącze internetowe"/>
    <w:uiPriority w:val="99"/>
    <w:rPr>
      <w:color w:val="0000FF"/>
      <w:u w:val="single"/>
    </w:rPr>
  </w:style>
  <w:style w:type="character" w:styleId="TekstdymkaZnak" w:customStyle="1">
    <w:name w:val="Tekst dymka Znak"/>
    <w:qFormat/>
    <w:rPr>
      <w:rFonts w:ascii="Tahoma" w:hAnsi="Tahoma" w:cs="Tahoma"/>
      <w:sz w:val="16"/>
      <w:szCs w:val="16"/>
    </w:rPr>
  </w:style>
  <w:style w:type="character" w:styleId="TekstpodstawowyZnak" w:customStyle="1">
    <w:name w:val="Tekst podstawowy Znak"/>
    <w:qFormat/>
    <w:rPr>
      <w:rFonts w:ascii="Times New Roman" w:hAnsi="Times New Roman" w:eastAsia="Times New Roman" w:cs="Times New Roman"/>
      <w:sz w:val="20"/>
      <w:szCs w:val="20"/>
    </w:rPr>
  </w:style>
  <w:style w:type="character" w:styleId="NagwekZnak" w:customStyle="1">
    <w:name w:val="Nagłówek Znak"/>
    <w:qFormat/>
    <w:rPr>
      <w:rFonts w:ascii="Times New Roman" w:hAnsi="Times New Roman" w:eastAsia="Times New Roman" w:cs="Times New Roman"/>
      <w:sz w:val="20"/>
      <w:szCs w:val="20"/>
    </w:rPr>
  </w:style>
  <w:style w:type="character" w:styleId="TekstpodstawowywcityZnak" w:customStyle="1">
    <w:name w:val="Tekst podstawowy wcięty Znak"/>
    <w:qFormat/>
    <w:rPr>
      <w:rFonts w:ascii="Times New Roman" w:hAnsi="Times New Roman" w:eastAsia="Times New Roman" w:cs="Times New Roman"/>
      <w:sz w:val="20"/>
      <w:szCs w:val="20"/>
    </w:rPr>
  </w:style>
  <w:style w:type="character" w:styleId="Tekstpodstawowy3Znak" w:customStyle="1">
    <w:name w:val="Tekst podstawowy 3 Znak"/>
    <w:qFormat/>
    <w:rPr>
      <w:rFonts w:ascii="Arial" w:hAnsi="Arial" w:eastAsia="Times New Roman" w:cs="Times New Roman"/>
      <w:sz w:val="24"/>
      <w:szCs w:val="20"/>
    </w:rPr>
  </w:style>
  <w:style w:type="character" w:styleId="Tekstpodstawowy2Znak" w:customStyle="1">
    <w:name w:val="Tekst podstawowy 2 Znak"/>
    <w:qFormat/>
    <w:rPr>
      <w:rFonts w:ascii="Arial" w:hAnsi="Arial" w:eastAsia="Times New Roman" w:cs="Times New Roman"/>
      <w:sz w:val="24"/>
      <w:szCs w:val="20"/>
    </w:rPr>
  </w:style>
  <w:style w:type="character" w:styleId="Nagwek5Znak" w:customStyle="1">
    <w:name w:val="Nagłówek 5 Znak"/>
    <w:qFormat/>
    <w:rPr>
      <w:rFonts w:ascii="Cambria" w:hAnsi="Cambria" w:cs="font271"/>
      <w:color w:val="243F60"/>
      <w:szCs w:val="20"/>
    </w:rPr>
  </w:style>
  <w:style w:type="character" w:styleId="Nagwek8Znak" w:customStyle="1">
    <w:name w:val="Nagłówek 8 Znak"/>
    <w:qFormat/>
    <w:rPr>
      <w:rFonts w:ascii="Cambria" w:hAnsi="Cambria" w:cs="font271"/>
      <w:color w:val="404040"/>
      <w:sz w:val="20"/>
      <w:szCs w:val="20"/>
    </w:rPr>
  </w:style>
  <w:style w:type="character" w:styleId="Tekstpodstawowywcity2Znak" w:customStyle="1">
    <w:name w:val="Tekst podstawowy wcięty 2 Znak"/>
    <w:link w:val="Tekstpodstawowywcity2"/>
    <w:qFormat/>
    <w:rPr>
      <w:rFonts w:ascii="Arial" w:hAnsi="Arial" w:cs="Arial"/>
      <w:szCs w:val="20"/>
    </w:rPr>
  </w:style>
  <w:style w:type="character" w:styleId="TytuZnak" w:customStyle="1">
    <w:name w:val="Tytuł Znak"/>
    <w:qFormat/>
    <w:rPr>
      <w:rFonts w:ascii="Arial" w:hAnsi="Arial" w:eastAsia="Times New Roman" w:cs="Arial"/>
      <w:b/>
      <w:bCs/>
      <w:sz w:val="24"/>
      <w:szCs w:val="24"/>
    </w:rPr>
  </w:style>
  <w:style w:type="character" w:styleId="Nagwek3Znak" w:customStyle="1">
    <w:name w:val="Nagłówek 3 Znak"/>
    <w:qFormat/>
    <w:rPr>
      <w:rFonts w:ascii="Cambria" w:hAnsi="Cambria" w:cs="font271"/>
      <w:b/>
      <w:bCs/>
      <w:color w:val="4F81BD"/>
      <w:szCs w:val="20"/>
    </w:rPr>
  </w:style>
  <w:style w:type="character" w:styleId="Tekstpodstawowywcity3Znak" w:customStyle="1">
    <w:name w:val="Tekst podstawowy wcięty 3 Znak"/>
    <w:qFormat/>
    <w:rPr>
      <w:rFonts w:ascii="Arial" w:hAnsi="Arial" w:cs="Arial"/>
      <w:sz w:val="16"/>
      <w:szCs w:val="16"/>
    </w:rPr>
  </w:style>
  <w:style w:type="character" w:styleId="Nagwek4Znak" w:customStyle="1">
    <w:name w:val="Nagłówek 4 Znak"/>
    <w:qFormat/>
    <w:rPr>
      <w:rFonts w:ascii="Times New Roman" w:hAnsi="Times New Roman" w:eastAsia="Times New Roman" w:cs="Times New Roman"/>
      <w:b/>
      <w:bCs/>
      <w:sz w:val="28"/>
      <w:szCs w:val="28"/>
    </w:rPr>
  </w:style>
  <w:style w:type="character" w:styleId="PodtytuZnak" w:customStyle="1">
    <w:name w:val="Podtytuł Znak"/>
    <w:qFormat/>
    <w:rPr>
      <w:rFonts w:ascii="Times New Roman" w:hAnsi="Times New Roman" w:eastAsia="Times New Roman" w:cs="Times New Roman"/>
      <w:sz w:val="28"/>
      <w:szCs w:val="20"/>
    </w:rPr>
  </w:style>
  <w:style w:type="character" w:styleId="TekstdymkaZnak1" w:customStyle="1">
    <w:name w:val="Tekst dymka Znak1"/>
    <w:link w:val="Tekstdymka"/>
    <w:uiPriority w:val="99"/>
    <w:semiHidden/>
    <w:qFormat/>
    <w:rsid w:val="00a06688"/>
    <w:rPr>
      <w:rFonts w:ascii="Segoe UI" w:hAnsi="Segoe UI" w:eastAsia="SimSun" w:cs="Segoe UI"/>
      <w:sz w:val="18"/>
      <w:szCs w:val="18"/>
      <w:lang w:eastAsia="ar-SA"/>
    </w:rPr>
  </w:style>
  <w:style w:type="character" w:styleId="StopkaZnak" w:customStyle="1">
    <w:name w:val="Stopka Znak"/>
    <w:link w:val="Stopka"/>
    <w:uiPriority w:val="99"/>
    <w:qFormat/>
    <w:rsid w:val="00184c8c"/>
    <w:rPr>
      <w:rFonts w:ascii="Arial" w:hAnsi="Arial" w:eastAsia="SimSun" w:cs="Arial"/>
      <w:sz w:val="22"/>
      <w:lang w:eastAsia="ar-SA"/>
    </w:rPr>
  </w:style>
  <w:style w:type="character" w:styleId="Tekstpodstawowy2Znak1" w:customStyle="1">
    <w:name w:val="Tekst podstawowy 2 Znak1"/>
    <w:basedOn w:val="DefaultParagraphFont"/>
    <w:link w:val="Tekstpodstawowy2"/>
    <w:uiPriority w:val="99"/>
    <w:semiHidden/>
    <w:qFormat/>
    <w:rsid w:val="002f799a"/>
    <w:rPr>
      <w:rFonts w:ascii="Arial" w:hAnsi="Arial" w:eastAsia="SimSun" w:cs="Arial"/>
      <w:sz w:val="22"/>
      <w:lang w:eastAsia="ar-SA"/>
    </w:rPr>
  </w:style>
  <w:style w:type="character" w:styleId="TekstpodstawowyZnak1" w:customStyle="1">
    <w:name w:val="Tekst podstawowy Znak1"/>
    <w:basedOn w:val="DefaultParagraphFont"/>
    <w:link w:val="Tekstpodstawowy"/>
    <w:qFormat/>
    <w:rsid w:val="002a2573"/>
    <w:rPr>
      <w:lang w:eastAsia="ar-SA"/>
    </w:rPr>
  </w:style>
  <w:style w:type="character" w:styleId="NagwekZnak1" w:customStyle="1">
    <w:name w:val="Nagłówek Znak1"/>
    <w:basedOn w:val="DefaultParagraphFont"/>
    <w:link w:val="Nagwek"/>
    <w:qFormat/>
    <w:rsid w:val="002a2573"/>
    <w:rPr>
      <w:lang w:eastAsia="ar-SA"/>
    </w:rPr>
  </w:style>
  <w:style w:type="character" w:styleId="TekstpodstawowywcityZnak1" w:customStyle="1">
    <w:name w:val="Tekst podstawowy wcięty Znak1"/>
    <w:basedOn w:val="DefaultParagraphFont"/>
    <w:link w:val="Tekstpodstawowywcity"/>
    <w:qFormat/>
    <w:rsid w:val="002a2573"/>
    <w:rPr>
      <w:lang w:eastAsia="ar-SA"/>
    </w:rPr>
  </w:style>
  <w:style w:type="character" w:styleId="TytuZnak1" w:customStyle="1">
    <w:name w:val="Tytuł Znak1"/>
    <w:basedOn w:val="DefaultParagraphFont"/>
    <w:link w:val="Tytu"/>
    <w:qFormat/>
    <w:rsid w:val="002a2573"/>
    <w:rPr>
      <w:rFonts w:ascii="Arial" w:hAnsi="Arial" w:cs="Arial"/>
      <w:b/>
      <w:bCs/>
      <w:sz w:val="24"/>
      <w:szCs w:val="24"/>
      <w:lang w:eastAsia="ar-SA"/>
    </w:rPr>
  </w:style>
  <w:style w:type="character" w:styleId="PodtytuZnak1" w:customStyle="1">
    <w:name w:val="Podtytuł Znak1"/>
    <w:basedOn w:val="DefaultParagraphFont"/>
    <w:link w:val="Podtytu"/>
    <w:qFormat/>
    <w:rsid w:val="002a2573"/>
    <w:rPr>
      <w:i/>
      <w:iCs/>
      <w:sz w:val="28"/>
      <w:szCs w:val="28"/>
      <w:lang w:eastAsia="ar-SA"/>
    </w:rPr>
  </w:style>
  <w:style w:type="character" w:styleId="Nagwek2Znak1" w:customStyle="1">
    <w:name w:val="Nagłówek 2 Znak1"/>
    <w:basedOn w:val="DefaultParagraphFont"/>
    <w:link w:val="Nagwek2"/>
    <w:qFormat/>
    <w:rsid w:val="00d03e69"/>
    <w:rPr>
      <w:rFonts w:ascii="Arial" w:hAnsi="Arial" w:eastAsia="SimSun" w:cs="font271"/>
      <w:b/>
      <w:bCs/>
      <w:sz w:val="32"/>
      <w:szCs w:val="32"/>
      <w:lang w:eastAsia="ar-SA"/>
    </w:rPr>
  </w:style>
  <w:style w:type="character" w:styleId="AkapitZnak" w:customStyle="1">
    <w:name w:val="Akapit Znak"/>
    <w:basedOn w:val="Nagwek2Znak1"/>
    <w:link w:val="Akapit"/>
    <w:qFormat/>
    <w:rsid w:val="00057e8b"/>
    <w:rPr>
      <w:rFonts w:ascii="Arial" w:hAnsi="Arial" w:eastAsia="SimSun" w:cs="font271"/>
      <w:b/>
      <w:bCs/>
      <w:sz w:val="22"/>
      <w:szCs w:val="32"/>
      <w:lang w:eastAsia="ar-SA"/>
    </w:rPr>
  </w:style>
  <w:style w:type="character" w:styleId="SpistreciPZTZnak" w:customStyle="1">
    <w:name w:val="Spis treści PZT Znak"/>
    <w:basedOn w:val="DefaultParagraphFont"/>
    <w:link w:val="SpistreciPZT"/>
    <w:qFormat/>
    <w:rsid w:val="0067327a"/>
    <w:rPr>
      <w:rFonts w:ascii="Arial" w:hAnsi="Arial" w:eastAsia="SimSun" w:cs="Arial"/>
      <w:sz w:val="22"/>
      <w:lang w:eastAsia="ar-SA"/>
    </w:rPr>
  </w:style>
  <w:style w:type="character" w:styleId="TekstprzypisukocowegoZnak" w:customStyle="1">
    <w:name w:val="Tekst przypisu końcowego Znak"/>
    <w:basedOn w:val="DefaultParagraphFont"/>
    <w:link w:val="Tekstprzypisukocowego"/>
    <w:uiPriority w:val="99"/>
    <w:semiHidden/>
    <w:qFormat/>
    <w:rsid w:val="007c1f41"/>
    <w:rPr>
      <w:rFonts w:ascii="Arial" w:hAnsi="Arial" w:eastAsia="SimSun" w:cs="Arial"/>
      <w:lang w:eastAsia="ar-SA"/>
    </w:rPr>
  </w:style>
  <w:style w:type="character" w:styleId="Zakotwiczenieprzypisukocowego">
    <w:name w:val="Zakotwiczenie przypisu końcowego"/>
    <w:rPr>
      <w:vertAlign w:val="superscript"/>
    </w:rPr>
  </w:style>
  <w:style w:type="character" w:styleId="EndnoteCharacters">
    <w:name w:val="Endnote Characters"/>
    <w:basedOn w:val="DefaultParagraphFont"/>
    <w:uiPriority w:val="99"/>
    <w:semiHidden/>
    <w:unhideWhenUsed/>
    <w:qFormat/>
    <w:rsid w:val="007c1f41"/>
    <w:rPr>
      <w:vertAlign w:val="superscript"/>
    </w:rPr>
  </w:style>
  <w:style w:type="character" w:styleId="Tekstpodstawowywcity2Znak1" w:customStyle="1">
    <w:name w:val="Tekst podstawowy wcięty 2 Znak1"/>
    <w:basedOn w:val="DefaultParagraphFont"/>
    <w:uiPriority w:val="99"/>
    <w:semiHidden/>
    <w:qFormat/>
    <w:rsid w:val="00042947"/>
    <w:rPr>
      <w:rFonts w:ascii="Arial" w:hAnsi="Arial" w:eastAsia="SimSun" w:cs="Arial"/>
      <w:sz w:val="22"/>
      <w:lang w:eastAsia="ar-SA"/>
    </w:rPr>
  </w:style>
  <w:style w:type="character" w:styleId="BezodstpwZnak" w:customStyle="1">
    <w:name w:val="Bez odstępów Znak"/>
    <w:link w:val="Bezodstpw"/>
    <w:uiPriority w:val="1"/>
    <w:qFormat/>
    <w:rsid w:val="00042947"/>
    <w:rPr>
      <w:rFonts w:ascii="Calibri" w:hAnsi="Calibri" w:eastAsia="Calibri"/>
      <w:sz w:val="22"/>
      <w:szCs w:val="22"/>
      <w:lang w:eastAsia="en-US"/>
    </w:rPr>
  </w:style>
  <w:style w:type="character" w:styleId="Czeindeksu">
    <w:name w:val="Łącze indeksu"/>
    <w:qFormat/>
    <w:rPr/>
  </w:style>
  <w:style w:type="character" w:styleId="35202094921z0">
    <w:name w:val="35202094921z0"/>
    <w:qFormat/>
    <w:rPr>
      <w:rFonts w:ascii="Times New Roman" w:hAnsi="Times New Roman" w:cs="Times New Roman"/>
      <w:color w:val="000000"/>
      <w:sz w:val="16"/>
    </w:rPr>
  </w:style>
  <w:style w:type="character" w:styleId="35202094921z1">
    <w:name w:val="35202094921z1"/>
    <w:qFormat/>
    <w:rPr>
      <w:rFonts w:ascii="Times New Roman" w:hAnsi="Times New Roman" w:eastAsia="Times New Roman" w:cs="Times New Roman"/>
    </w:rPr>
  </w:style>
  <w:style w:type="character" w:styleId="35202094921z2">
    <w:name w:val="35202094921z2"/>
    <w:qFormat/>
    <w:rPr/>
  </w:style>
  <w:style w:type="character" w:styleId="35202094921z3">
    <w:name w:val="35202094921z3"/>
    <w:qFormat/>
    <w:rPr>
      <w:rFonts w:ascii="Symbol" w:hAnsi="Symbol" w:cs="Symbol"/>
    </w:rPr>
  </w:style>
  <w:style w:type="character" w:styleId="35202094921z4">
    <w:name w:val="35202094921z4"/>
    <w:qFormat/>
    <w:rPr>
      <w:rFonts w:ascii="Courier New" w:hAnsi="Courier New" w:cs="Courier New"/>
    </w:rPr>
  </w:style>
  <w:style w:type="character" w:styleId="35202094921z5">
    <w:name w:val="35202094921z5"/>
    <w:qFormat/>
    <w:rPr>
      <w:rFonts w:ascii="Wingdings" w:hAnsi="Wingdings" w:cs="Wingdings"/>
    </w:rPr>
  </w:style>
  <w:style w:type="character" w:styleId="27945956561z0">
    <w:name w:val="27945956561z0"/>
    <w:qFormat/>
    <w:rPr>
      <w:rFonts w:ascii="Symbol" w:hAnsi="Symbol" w:cs="Symbol"/>
    </w:rPr>
  </w:style>
  <w:style w:type="character" w:styleId="27945956561z1">
    <w:name w:val="27945956561z1"/>
    <w:qFormat/>
    <w:rPr>
      <w:rFonts w:ascii="Courier New" w:hAnsi="Courier New" w:cs="Courier New"/>
    </w:rPr>
  </w:style>
  <w:style w:type="character" w:styleId="27945956561z2">
    <w:name w:val="27945956561z2"/>
    <w:qFormat/>
    <w:rPr>
      <w:rFonts w:ascii="Wingdings" w:hAnsi="Wingdings" w:cs="Wingdings"/>
    </w:rPr>
  </w:style>
  <w:style w:type="character" w:styleId="WW8Num32z0">
    <w:name w:val="WW8Num32z0"/>
    <w:qFormat/>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38303550021z0">
    <w:name w:val="38303550021z0"/>
    <w:qFormat/>
    <w:rPr>
      <w:color w:val="000000"/>
    </w:rPr>
  </w:style>
  <w:style w:type="character" w:styleId="38303550021z1">
    <w:name w:val="38303550021z1"/>
    <w:qFormat/>
    <w:rPr/>
  </w:style>
  <w:style w:type="character" w:styleId="38303550021z2">
    <w:name w:val="38303550021z2"/>
    <w:qFormat/>
    <w:rPr/>
  </w:style>
  <w:style w:type="character" w:styleId="38303550021z3">
    <w:name w:val="38303550021z3"/>
    <w:qFormat/>
    <w:rPr/>
  </w:style>
  <w:style w:type="character" w:styleId="38303550021z4">
    <w:name w:val="38303550021z4"/>
    <w:qFormat/>
    <w:rPr/>
  </w:style>
  <w:style w:type="character" w:styleId="38303550021z5">
    <w:name w:val="38303550021z5"/>
    <w:qFormat/>
    <w:rPr/>
  </w:style>
  <w:style w:type="character" w:styleId="38303550021z6">
    <w:name w:val="38303550021z6"/>
    <w:qFormat/>
    <w:rPr/>
  </w:style>
  <w:style w:type="character" w:styleId="38303550021z7">
    <w:name w:val="38303550021z7"/>
    <w:qFormat/>
    <w:rPr/>
  </w:style>
  <w:style w:type="character" w:styleId="38303550021z8">
    <w:name w:val="38303550021z8"/>
    <w:qFormat/>
    <w:rPr/>
  </w:style>
  <w:style w:type="character" w:styleId="1636146381z0">
    <w:name w:val="1636146381z0"/>
    <w:qFormat/>
    <w:rPr/>
  </w:style>
  <w:style w:type="character" w:styleId="1636146381z1">
    <w:name w:val="1636146381z1"/>
    <w:qFormat/>
    <w:rPr/>
  </w:style>
  <w:style w:type="character" w:styleId="1636146381z2">
    <w:name w:val="1636146381z2"/>
    <w:qFormat/>
    <w:rPr/>
  </w:style>
  <w:style w:type="character" w:styleId="1636146381z3">
    <w:name w:val="1636146381z3"/>
    <w:qFormat/>
    <w:rPr/>
  </w:style>
  <w:style w:type="character" w:styleId="1636146381z4">
    <w:name w:val="1636146381z4"/>
    <w:qFormat/>
    <w:rPr/>
  </w:style>
  <w:style w:type="character" w:styleId="1636146381z5">
    <w:name w:val="1636146381z5"/>
    <w:qFormat/>
    <w:rPr/>
  </w:style>
  <w:style w:type="character" w:styleId="1636146381z6">
    <w:name w:val="1636146381z6"/>
    <w:qFormat/>
    <w:rPr/>
  </w:style>
  <w:style w:type="character" w:styleId="1636146381z7">
    <w:name w:val="1636146381z7"/>
    <w:qFormat/>
    <w:rPr/>
  </w:style>
  <w:style w:type="character" w:styleId="1636146381z8">
    <w:name w:val="1636146381z8"/>
    <w:qFormat/>
    <w:rPr/>
  </w:style>
  <w:style w:type="character" w:styleId="42566704171z0">
    <w:name w:val="42566704171z0"/>
    <w:qFormat/>
    <w:rPr>
      <w:color w:val="000000"/>
    </w:rPr>
  </w:style>
  <w:style w:type="character" w:styleId="42566704171z1">
    <w:name w:val="42566704171z1"/>
    <w:qFormat/>
    <w:rPr/>
  </w:style>
  <w:style w:type="character" w:styleId="42566704171z2">
    <w:name w:val="42566704171z2"/>
    <w:qFormat/>
    <w:rPr/>
  </w:style>
  <w:style w:type="character" w:styleId="42566704171z3">
    <w:name w:val="42566704171z3"/>
    <w:qFormat/>
    <w:rPr/>
  </w:style>
  <w:style w:type="character" w:styleId="42566704171z4">
    <w:name w:val="42566704171z4"/>
    <w:qFormat/>
    <w:rPr/>
  </w:style>
  <w:style w:type="character" w:styleId="42566704171z5">
    <w:name w:val="42566704171z5"/>
    <w:qFormat/>
    <w:rPr/>
  </w:style>
  <w:style w:type="character" w:styleId="42566704171z6">
    <w:name w:val="42566704171z6"/>
    <w:qFormat/>
    <w:rPr/>
  </w:style>
  <w:style w:type="character" w:styleId="42566704171z7">
    <w:name w:val="42566704171z7"/>
    <w:qFormat/>
    <w:rPr/>
  </w:style>
  <w:style w:type="character" w:styleId="42566704171z8">
    <w:name w:val="42566704171z8"/>
    <w:qFormat/>
    <w:rPr/>
  </w:style>
  <w:style w:type="character" w:styleId="32706528701z0">
    <w:name w:val="32706528701z0"/>
    <w:qFormat/>
    <w:rPr/>
  </w:style>
  <w:style w:type="character" w:styleId="32706528701z1">
    <w:name w:val="32706528701z1"/>
    <w:qFormat/>
    <w:rPr/>
  </w:style>
  <w:style w:type="character" w:styleId="32706528701z2">
    <w:name w:val="32706528701z2"/>
    <w:qFormat/>
    <w:rPr/>
  </w:style>
  <w:style w:type="character" w:styleId="32706528701z3">
    <w:name w:val="32706528701z3"/>
    <w:qFormat/>
    <w:rPr/>
  </w:style>
  <w:style w:type="character" w:styleId="32706528701z4">
    <w:name w:val="32706528701z4"/>
    <w:qFormat/>
    <w:rPr/>
  </w:style>
  <w:style w:type="character" w:styleId="32706528701z5">
    <w:name w:val="32706528701z5"/>
    <w:qFormat/>
    <w:rPr/>
  </w:style>
  <w:style w:type="character" w:styleId="32706528701z6">
    <w:name w:val="32706528701z6"/>
    <w:qFormat/>
    <w:rPr/>
  </w:style>
  <w:style w:type="character" w:styleId="32706528701z7">
    <w:name w:val="32706528701z7"/>
    <w:qFormat/>
    <w:rPr/>
  </w:style>
  <w:style w:type="character" w:styleId="32706528701z8">
    <w:name w:val="32706528701z8"/>
    <w:qFormat/>
    <w:rPr/>
  </w:style>
  <w:style w:type="character" w:styleId="5041763241z0">
    <w:name w:val="5041763241z0"/>
    <w:qFormat/>
    <w:rPr/>
  </w:style>
  <w:style w:type="character" w:styleId="5041763241z1">
    <w:name w:val="5041763241z1"/>
    <w:qFormat/>
    <w:rPr/>
  </w:style>
  <w:style w:type="character" w:styleId="5041763241z2">
    <w:name w:val="5041763241z2"/>
    <w:qFormat/>
    <w:rPr/>
  </w:style>
  <w:style w:type="character" w:styleId="5041763241z3">
    <w:name w:val="5041763241z3"/>
    <w:qFormat/>
    <w:rPr/>
  </w:style>
  <w:style w:type="character" w:styleId="5041763241z4">
    <w:name w:val="5041763241z4"/>
    <w:qFormat/>
    <w:rPr/>
  </w:style>
  <w:style w:type="character" w:styleId="5041763241z5">
    <w:name w:val="5041763241z5"/>
    <w:qFormat/>
    <w:rPr/>
  </w:style>
  <w:style w:type="character" w:styleId="5041763241z6">
    <w:name w:val="5041763241z6"/>
    <w:qFormat/>
    <w:rPr/>
  </w:style>
  <w:style w:type="character" w:styleId="5041763241z7">
    <w:name w:val="5041763241z7"/>
    <w:qFormat/>
    <w:rPr/>
  </w:style>
  <w:style w:type="character" w:styleId="5041763241z8">
    <w:name w:val="5041763241z8"/>
    <w:qFormat/>
    <w:rPr/>
  </w:style>
  <w:style w:type="character" w:styleId="15830195631z0">
    <w:name w:val="15830195631z0"/>
    <w:qFormat/>
    <w:rPr>
      <w:color w:val="000000"/>
    </w:rPr>
  </w:style>
  <w:style w:type="character" w:styleId="15830195631z1">
    <w:name w:val="15830195631z1"/>
    <w:qFormat/>
    <w:rPr/>
  </w:style>
  <w:style w:type="character" w:styleId="15830195631z2">
    <w:name w:val="15830195631z2"/>
    <w:qFormat/>
    <w:rPr/>
  </w:style>
  <w:style w:type="character" w:styleId="15830195631z3">
    <w:name w:val="15830195631z3"/>
    <w:qFormat/>
    <w:rPr/>
  </w:style>
  <w:style w:type="character" w:styleId="15830195631z4">
    <w:name w:val="15830195631z4"/>
    <w:qFormat/>
    <w:rPr/>
  </w:style>
  <w:style w:type="character" w:styleId="15830195631z5">
    <w:name w:val="15830195631z5"/>
    <w:qFormat/>
    <w:rPr/>
  </w:style>
  <w:style w:type="character" w:styleId="15830195631z6">
    <w:name w:val="15830195631z6"/>
    <w:qFormat/>
    <w:rPr/>
  </w:style>
  <w:style w:type="character" w:styleId="15830195631z7">
    <w:name w:val="15830195631z7"/>
    <w:qFormat/>
    <w:rPr/>
  </w:style>
  <w:style w:type="character" w:styleId="15830195631z8">
    <w:name w:val="15830195631z8"/>
    <w:qFormat/>
    <w:rPr/>
  </w:style>
  <w:style w:type="character" w:styleId="2361597961z0">
    <w:name w:val="2361597961z0"/>
    <w:qFormat/>
    <w:rPr>
      <w:color w:val="000000"/>
    </w:rPr>
  </w:style>
  <w:style w:type="character" w:styleId="2361597961z1">
    <w:name w:val="2361597961z1"/>
    <w:qFormat/>
    <w:rPr/>
  </w:style>
  <w:style w:type="character" w:styleId="2361597961z2">
    <w:name w:val="2361597961z2"/>
    <w:qFormat/>
    <w:rPr/>
  </w:style>
  <w:style w:type="character" w:styleId="2361597961z3">
    <w:name w:val="2361597961z3"/>
    <w:qFormat/>
    <w:rPr/>
  </w:style>
  <w:style w:type="character" w:styleId="2361597961z4">
    <w:name w:val="2361597961z4"/>
    <w:qFormat/>
    <w:rPr/>
  </w:style>
  <w:style w:type="character" w:styleId="2361597961z5">
    <w:name w:val="2361597961z5"/>
    <w:qFormat/>
    <w:rPr/>
  </w:style>
  <w:style w:type="character" w:styleId="2361597961z6">
    <w:name w:val="2361597961z6"/>
    <w:qFormat/>
    <w:rPr/>
  </w:style>
  <w:style w:type="character" w:styleId="2361597961z7">
    <w:name w:val="2361597961z7"/>
    <w:qFormat/>
    <w:rPr/>
  </w:style>
  <w:style w:type="character" w:styleId="2361597961z8">
    <w:name w:val="2361597961z8"/>
    <w:qFormat/>
    <w:rPr/>
  </w:style>
  <w:style w:type="character" w:styleId="12535064751z0">
    <w:name w:val="12535064751z0"/>
    <w:qFormat/>
    <w:rPr/>
  </w:style>
  <w:style w:type="character" w:styleId="12535064751z1">
    <w:name w:val="12535064751z1"/>
    <w:qFormat/>
    <w:rPr/>
  </w:style>
  <w:style w:type="character" w:styleId="12535064751z2">
    <w:name w:val="12535064751z2"/>
    <w:qFormat/>
    <w:rPr/>
  </w:style>
  <w:style w:type="character" w:styleId="12535064751z3">
    <w:name w:val="12535064751z3"/>
    <w:qFormat/>
    <w:rPr/>
  </w:style>
  <w:style w:type="character" w:styleId="12535064751z4">
    <w:name w:val="12535064751z4"/>
    <w:qFormat/>
    <w:rPr/>
  </w:style>
  <w:style w:type="character" w:styleId="12535064751z5">
    <w:name w:val="12535064751z5"/>
    <w:qFormat/>
    <w:rPr/>
  </w:style>
  <w:style w:type="character" w:styleId="12535064751z6">
    <w:name w:val="12535064751z6"/>
    <w:qFormat/>
    <w:rPr/>
  </w:style>
  <w:style w:type="character" w:styleId="12535064751z7">
    <w:name w:val="12535064751z7"/>
    <w:qFormat/>
    <w:rPr/>
  </w:style>
  <w:style w:type="character" w:styleId="12535064751z8">
    <w:name w:val="12535064751z8"/>
    <w:qFormat/>
    <w:rPr/>
  </w:style>
  <w:style w:type="character" w:styleId="30630217741z0">
    <w:name w:val="30630217741z0"/>
    <w:qFormat/>
    <w:rPr>
      <w:color w:val="000000"/>
    </w:rPr>
  </w:style>
  <w:style w:type="character" w:styleId="30630217741z1">
    <w:name w:val="30630217741z1"/>
    <w:qFormat/>
    <w:rPr/>
  </w:style>
  <w:style w:type="character" w:styleId="30630217741z2">
    <w:name w:val="30630217741z2"/>
    <w:qFormat/>
    <w:rPr/>
  </w:style>
  <w:style w:type="character" w:styleId="30630217741z3">
    <w:name w:val="30630217741z3"/>
    <w:qFormat/>
    <w:rPr/>
  </w:style>
  <w:style w:type="character" w:styleId="30630217741z4">
    <w:name w:val="30630217741z4"/>
    <w:qFormat/>
    <w:rPr/>
  </w:style>
  <w:style w:type="character" w:styleId="30630217741z5">
    <w:name w:val="30630217741z5"/>
    <w:qFormat/>
    <w:rPr/>
  </w:style>
  <w:style w:type="character" w:styleId="30630217741z6">
    <w:name w:val="30630217741z6"/>
    <w:qFormat/>
    <w:rPr/>
  </w:style>
  <w:style w:type="character" w:styleId="30630217741z7">
    <w:name w:val="30630217741z7"/>
    <w:qFormat/>
    <w:rPr/>
  </w:style>
  <w:style w:type="character" w:styleId="30630217741z8">
    <w:name w:val="30630217741z8"/>
    <w:qFormat/>
    <w:rPr/>
  </w:style>
  <w:style w:type="character" w:styleId="28382464241z0">
    <w:name w:val="28382464241z0"/>
    <w:qFormat/>
    <w:rPr>
      <w:color w:val="000000"/>
    </w:rPr>
  </w:style>
  <w:style w:type="character" w:styleId="28382464241z1">
    <w:name w:val="28382464241z1"/>
    <w:qFormat/>
    <w:rPr/>
  </w:style>
  <w:style w:type="character" w:styleId="28382464241z2">
    <w:name w:val="28382464241z2"/>
    <w:qFormat/>
    <w:rPr/>
  </w:style>
  <w:style w:type="character" w:styleId="28382464241z3">
    <w:name w:val="28382464241z3"/>
    <w:qFormat/>
    <w:rPr/>
  </w:style>
  <w:style w:type="character" w:styleId="28382464241z4">
    <w:name w:val="28382464241z4"/>
    <w:qFormat/>
    <w:rPr/>
  </w:style>
  <w:style w:type="character" w:styleId="28382464241z5">
    <w:name w:val="28382464241z5"/>
    <w:qFormat/>
    <w:rPr/>
  </w:style>
  <w:style w:type="character" w:styleId="28382464241z6">
    <w:name w:val="28382464241z6"/>
    <w:qFormat/>
    <w:rPr/>
  </w:style>
  <w:style w:type="character" w:styleId="28382464241z7">
    <w:name w:val="28382464241z7"/>
    <w:qFormat/>
    <w:rPr/>
  </w:style>
  <w:style w:type="character" w:styleId="28382464241z8">
    <w:name w:val="28382464241z8"/>
    <w:qFormat/>
    <w:rPr/>
  </w:style>
  <w:style w:type="character" w:styleId="8923614631z0">
    <w:name w:val="8923614631z0"/>
    <w:qFormat/>
    <w:rPr>
      <w:color w:val="000000"/>
    </w:rPr>
  </w:style>
  <w:style w:type="character" w:styleId="8923614631z1">
    <w:name w:val="8923614631z1"/>
    <w:qFormat/>
    <w:rPr/>
  </w:style>
  <w:style w:type="character" w:styleId="8923614631z2">
    <w:name w:val="8923614631z2"/>
    <w:qFormat/>
    <w:rPr/>
  </w:style>
  <w:style w:type="character" w:styleId="8923614631z3">
    <w:name w:val="8923614631z3"/>
    <w:qFormat/>
    <w:rPr/>
  </w:style>
  <w:style w:type="character" w:styleId="8923614631z4">
    <w:name w:val="8923614631z4"/>
    <w:qFormat/>
    <w:rPr/>
  </w:style>
  <w:style w:type="character" w:styleId="8923614631z5">
    <w:name w:val="8923614631z5"/>
    <w:qFormat/>
    <w:rPr/>
  </w:style>
  <w:style w:type="character" w:styleId="8923614631z6">
    <w:name w:val="8923614631z6"/>
    <w:qFormat/>
    <w:rPr/>
  </w:style>
  <w:style w:type="character" w:styleId="8923614631z7">
    <w:name w:val="8923614631z7"/>
    <w:qFormat/>
    <w:rPr/>
  </w:style>
  <w:style w:type="character" w:styleId="8923614631z8">
    <w:name w:val="8923614631z8"/>
    <w:qFormat/>
    <w:rPr/>
  </w:style>
  <w:style w:type="character" w:styleId="33422980331z0">
    <w:name w:val="33422980331z0"/>
    <w:qFormat/>
    <w:rPr/>
  </w:style>
  <w:style w:type="character" w:styleId="33422980331z1">
    <w:name w:val="33422980331z1"/>
    <w:qFormat/>
    <w:rPr/>
  </w:style>
  <w:style w:type="character" w:styleId="33422980331z2">
    <w:name w:val="33422980331z2"/>
    <w:qFormat/>
    <w:rPr/>
  </w:style>
  <w:style w:type="character" w:styleId="33422980331z3">
    <w:name w:val="33422980331z3"/>
    <w:qFormat/>
    <w:rPr/>
  </w:style>
  <w:style w:type="character" w:styleId="33422980331z4">
    <w:name w:val="33422980331z4"/>
    <w:qFormat/>
    <w:rPr/>
  </w:style>
  <w:style w:type="character" w:styleId="33422980331z5">
    <w:name w:val="33422980331z5"/>
    <w:qFormat/>
    <w:rPr/>
  </w:style>
  <w:style w:type="character" w:styleId="33422980331z6">
    <w:name w:val="33422980331z6"/>
    <w:qFormat/>
    <w:rPr/>
  </w:style>
  <w:style w:type="character" w:styleId="33422980331z7">
    <w:name w:val="33422980331z7"/>
    <w:qFormat/>
    <w:rPr/>
  </w:style>
  <w:style w:type="character" w:styleId="33422980331z8">
    <w:name w:val="33422980331z8"/>
    <w:qFormat/>
    <w:rPr/>
  </w:style>
  <w:style w:type="character" w:styleId="15840987181z0">
    <w:name w:val="15840987181z0"/>
    <w:qFormat/>
    <w:rPr>
      <w:color w:val="000000"/>
    </w:rPr>
  </w:style>
  <w:style w:type="character" w:styleId="40931035391z0">
    <w:name w:val="40931035391z0"/>
    <w:qFormat/>
    <w:rPr/>
  </w:style>
  <w:style w:type="character" w:styleId="40931035391z1">
    <w:name w:val="40931035391z1"/>
    <w:qFormat/>
    <w:rPr/>
  </w:style>
  <w:style w:type="character" w:styleId="40931035391z2">
    <w:name w:val="40931035391z2"/>
    <w:qFormat/>
    <w:rPr/>
  </w:style>
  <w:style w:type="character" w:styleId="40931035391z3">
    <w:name w:val="40931035391z3"/>
    <w:qFormat/>
    <w:rPr/>
  </w:style>
  <w:style w:type="character" w:styleId="40931035391z4">
    <w:name w:val="40931035391z4"/>
    <w:qFormat/>
    <w:rPr/>
  </w:style>
  <w:style w:type="character" w:styleId="40931035391z5">
    <w:name w:val="40931035391z5"/>
    <w:qFormat/>
    <w:rPr/>
  </w:style>
  <w:style w:type="character" w:styleId="40931035391z6">
    <w:name w:val="40931035391z6"/>
    <w:qFormat/>
    <w:rPr/>
  </w:style>
  <w:style w:type="character" w:styleId="40931035391z7">
    <w:name w:val="40931035391z7"/>
    <w:qFormat/>
    <w:rPr/>
  </w:style>
  <w:style w:type="character" w:styleId="40931035391z8">
    <w:name w:val="40931035391z8"/>
    <w:qFormat/>
    <w:rPr/>
  </w:style>
  <w:style w:type="character" w:styleId="24349952061z0">
    <w:name w:val="24349952061z0"/>
    <w:qFormat/>
    <w:rPr/>
  </w:style>
  <w:style w:type="character" w:styleId="24349952061z1">
    <w:name w:val="24349952061z1"/>
    <w:qFormat/>
    <w:rPr/>
  </w:style>
  <w:style w:type="character" w:styleId="24349952061z2">
    <w:name w:val="24349952061z2"/>
    <w:qFormat/>
    <w:rPr/>
  </w:style>
  <w:style w:type="character" w:styleId="24349952061z3">
    <w:name w:val="24349952061z3"/>
    <w:qFormat/>
    <w:rPr/>
  </w:style>
  <w:style w:type="character" w:styleId="24349952061z4">
    <w:name w:val="24349952061z4"/>
    <w:qFormat/>
    <w:rPr/>
  </w:style>
  <w:style w:type="character" w:styleId="24349952061z5">
    <w:name w:val="24349952061z5"/>
    <w:qFormat/>
    <w:rPr/>
  </w:style>
  <w:style w:type="character" w:styleId="24349952061z6">
    <w:name w:val="24349952061z6"/>
    <w:qFormat/>
    <w:rPr/>
  </w:style>
  <w:style w:type="character" w:styleId="24349952061z7">
    <w:name w:val="24349952061z7"/>
    <w:qFormat/>
    <w:rPr/>
  </w:style>
  <w:style w:type="character" w:styleId="24349952061z8">
    <w:name w:val="24349952061z8"/>
    <w:qFormat/>
    <w:rPr/>
  </w:style>
  <w:style w:type="character" w:styleId="9324165321z0">
    <w:name w:val="9324165321z0"/>
    <w:qFormat/>
    <w:rPr/>
  </w:style>
  <w:style w:type="character" w:styleId="9324165321z1">
    <w:name w:val="9324165321z1"/>
    <w:qFormat/>
    <w:rPr/>
  </w:style>
  <w:style w:type="character" w:styleId="9324165321z2">
    <w:name w:val="9324165321z2"/>
    <w:qFormat/>
    <w:rPr/>
  </w:style>
  <w:style w:type="character" w:styleId="9324165321z3">
    <w:name w:val="9324165321z3"/>
    <w:qFormat/>
    <w:rPr/>
  </w:style>
  <w:style w:type="character" w:styleId="9324165321z4">
    <w:name w:val="9324165321z4"/>
    <w:qFormat/>
    <w:rPr/>
  </w:style>
  <w:style w:type="character" w:styleId="9324165321z5">
    <w:name w:val="9324165321z5"/>
    <w:qFormat/>
    <w:rPr/>
  </w:style>
  <w:style w:type="character" w:styleId="9324165321z6">
    <w:name w:val="9324165321z6"/>
    <w:qFormat/>
    <w:rPr/>
  </w:style>
  <w:style w:type="character" w:styleId="9324165321z7">
    <w:name w:val="9324165321z7"/>
    <w:qFormat/>
    <w:rPr/>
  </w:style>
  <w:style w:type="character" w:styleId="9324165321z8">
    <w:name w:val="9324165321z8"/>
    <w:qFormat/>
    <w:rPr/>
  </w:style>
  <w:style w:type="character" w:styleId="11625659211z0">
    <w:name w:val="11625659211z0"/>
    <w:qFormat/>
    <w:rPr>
      <w:color w:val="000000"/>
    </w:rPr>
  </w:style>
  <w:style w:type="character" w:styleId="11625659211z1">
    <w:name w:val="11625659211z1"/>
    <w:qFormat/>
    <w:rPr/>
  </w:style>
  <w:style w:type="character" w:styleId="11625659211z2">
    <w:name w:val="11625659211z2"/>
    <w:qFormat/>
    <w:rPr/>
  </w:style>
  <w:style w:type="character" w:styleId="11625659211z3">
    <w:name w:val="11625659211z3"/>
    <w:qFormat/>
    <w:rPr/>
  </w:style>
  <w:style w:type="character" w:styleId="11625659211z4">
    <w:name w:val="11625659211z4"/>
    <w:qFormat/>
    <w:rPr/>
  </w:style>
  <w:style w:type="character" w:styleId="11625659211z5">
    <w:name w:val="11625659211z5"/>
    <w:qFormat/>
    <w:rPr/>
  </w:style>
  <w:style w:type="character" w:styleId="11625659211z6">
    <w:name w:val="11625659211z6"/>
    <w:qFormat/>
    <w:rPr/>
  </w:style>
  <w:style w:type="character" w:styleId="11625659211z7">
    <w:name w:val="11625659211z7"/>
    <w:qFormat/>
    <w:rPr/>
  </w:style>
  <w:style w:type="character" w:styleId="11625659211z8">
    <w:name w:val="11625659211z8"/>
    <w:qFormat/>
    <w:rPr/>
  </w:style>
  <w:style w:type="character" w:styleId="10441737031z0">
    <w:name w:val="10441737031z0"/>
    <w:qFormat/>
    <w:rPr>
      <w:color w:val="000000"/>
    </w:rPr>
  </w:style>
  <w:style w:type="character" w:styleId="10441737031z1">
    <w:name w:val="10441737031z1"/>
    <w:qFormat/>
    <w:rPr/>
  </w:style>
  <w:style w:type="character" w:styleId="10441737031z2">
    <w:name w:val="10441737031z2"/>
    <w:qFormat/>
    <w:rPr/>
  </w:style>
  <w:style w:type="character" w:styleId="10441737031z3">
    <w:name w:val="10441737031z3"/>
    <w:qFormat/>
    <w:rPr/>
  </w:style>
  <w:style w:type="character" w:styleId="10441737031z4">
    <w:name w:val="10441737031z4"/>
    <w:qFormat/>
    <w:rPr/>
  </w:style>
  <w:style w:type="character" w:styleId="10441737031z5">
    <w:name w:val="10441737031z5"/>
    <w:qFormat/>
    <w:rPr/>
  </w:style>
  <w:style w:type="character" w:styleId="10441737031z6">
    <w:name w:val="10441737031z6"/>
    <w:qFormat/>
    <w:rPr/>
  </w:style>
  <w:style w:type="character" w:styleId="10441737031z7">
    <w:name w:val="10441737031z7"/>
    <w:qFormat/>
    <w:rPr/>
  </w:style>
  <w:style w:type="character" w:styleId="10441737031z8">
    <w:name w:val="10441737031z8"/>
    <w:qFormat/>
    <w:rPr/>
  </w:style>
  <w:style w:type="character" w:styleId="11529531301z0">
    <w:name w:val="11529531301z0"/>
    <w:qFormat/>
    <w:rPr>
      <w:color w:val="000000"/>
    </w:rPr>
  </w:style>
  <w:style w:type="character" w:styleId="11529531301z1">
    <w:name w:val="11529531301z1"/>
    <w:qFormat/>
    <w:rPr/>
  </w:style>
  <w:style w:type="character" w:styleId="11529531301z2">
    <w:name w:val="11529531301z2"/>
    <w:qFormat/>
    <w:rPr/>
  </w:style>
  <w:style w:type="character" w:styleId="11529531301z3">
    <w:name w:val="11529531301z3"/>
    <w:qFormat/>
    <w:rPr/>
  </w:style>
  <w:style w:type="character" w:styleId="11529531301z4">
    <w:name w:val="11529531301z4"/>
    <w:qFormat/>
    <w:rPr/>
  </w:style>
  <w:style w:type="character" w:styleId="11529531301z5">
    <w:name w:val="11529531301z5"/>
    <w:qFormat/>
    <w:rPr/>
  </w:style>
  <w:style w:type="character" w:styleId="11529531301z6">
    <w:name w:val="11529531301z6"/>
    <w:qFormat/>
    <w:rPr/>
  </w:style>
  <w:style w:type="character" w:styleId="11529531301z7">
    <w:name w:val="11529531301z7"/>
    <w:qFormat/>
    <w:rPr/>
  </w:style>
  <w:style w:type="character" w:styleId="11529531301z8">
    <w:name w:val="11529531301z8"/>
    <w:qFormat/>
    <w:rPr/>
  </w:style>
  <w:style w:type="character" w:styleId="9419597271z0">
    <w:name w:val="9419597271z0"/>
    <w:qFormat/>
    <w:rPr>
      <w:rFonts w:ascii="Symbol" w:hAnsi="Symbol" w:cs="Symbol"/>
    </w:rPr>
  </w:style>
  <w:style w:type="character" w:styleId="9419597271z1">
    <w:name w:val="9419597271z1"/>
    <w:qFormat/>
    <w:rPr>
      <w:rFonts w:ascii="Courier New" w:hAnsi="Courier New" w:cs="Courier New"/>
    </w:rPr>
  </w:style>
  <w:style w:type="character" w:styleId="9419597271z2">
    <w:name w:val="9419597271z2"/>
    <w:qFormat/>
    <w:rPr>
      <w:rFonts w:ascii="Wingdings" w:hAnsi="Wingdings" w:cs="Wingdings"/>
    </w:rPr>
  </w:style>
  <w:style w:type="character" w:styleId="23348346191z0">
    <w:name w:val="23348346191z0"/>
    <w:qFormat/>
    <w:rPr/>
  </w:style>
  <w:style w:type="character" w:styleId="23348346191z1">
    <w:name w:val="23348346191z1"/>
    <w:qFormat/>
    <w:rPr/>
  </w:style>
  <w:style w:type="character" w:styleId="23348346191z2">
    <w:name w:val="23348346191z2"/>
    <w:qFormat/>
    <w:rPr/>
  </w:style>
  <w:style w:type="character" w:styleId="23348346191z3">
    <w:name w:val="23348346191z3"/>
    <w:qFormat/>
    <w:rPr/>
  </w:style>
  <w:style w:type="character" w:styleId="23348346191z4">
    <w:name w:val="23348346191z4"/>
    <w:qFormat/>
    <w:rPr/>
  </w:style>
  <w:style w:type="character" w:styleId="23348346191z5">
    <w:name w:val="23348346191z5"/>
    <w:qFormat/>
    <w:rPr/>
  </w:style>
  <w:style w:type="character" w:styleId="23348346191z6">
    <w:name w:val="23348346191z6"/>
    <w:qFormat/>
    <w:rPr/>
  </w:style>
  <w:style w:type="character" w:styleId="23348346191z7">
    <w:name w:val="23348346191z7"/>
    <w:qFormat/>
    <w:rPr/>
  </w:style>
  <w:style w:type="character" w:styleId="23348346191z8">
    <w:name w:val="23348346191z8"/>
    <w:qFormat/>
    <w:rPr/>
  </w:style>
  <w:style w:type="character" w:styleId="WW8Num2z0">
    <w:name w:val="WW8Num2z0"/>
    <w:qFormat/>
    <w:rPr>
      <w:rFonts w:ascii="Times New Roman" w:hAnsi="Times New Roman" w:cs="Times New Roman"/>
      <w:color w:val="000000"/>
      <w:sz w:val="16"/>
    </w:rPr>
  </w:style>
  <w:style w:type="character" w:styleId="WW8Num2z1">
    <w:name w:val="WW8Num2z1"/>
    <w:qFormat/>
    <w:rPr>
      <w:rFonts w:ascii="Times New Roman" w:hAnsi="Times New Roman" w:eastAsia="Times New Roman" w:cs="Times New Roman"/>
    </w:rPr>
  </w:style>
  <w:style w:type="character" w:styleId="WW8Num2z2">
    <w:name w:val="WW8Num2z2"/>
    <w:qFormat/>
    <w:rPr/>
  </w:style>
  <w:style w:type="character" w:styleId="WW8Num2z3">
    <w:name w:val="WW8Num2z3"/>
    <w:qFormat/>
    <w:rPr>
      <w:rFonts w:ascii="Symbol" w:hAnsi="Symbol" w:cs="Symbol"/>
    </w:rPr>
  </w:style>
  <w:style w:type="character" w:styleId="WW8Num2z4">
    <w:name w:val="WW8Num2z4"/>
    <w:qFormat/>
    <w:rPr>
      <w:rFonts w:ascii="Courier New" w:hAnsi="Courier New" w:cs="Courier New"/>
    </w:rPr>
  </w:style>
  <w:style w:type="character" w:styleId="WW8Num2z5">
    <w:name w:val="WW8Num2z5"/>
    <w:qFormat/>
    <w:rPr>
      <w:rFonts w:ascii="Wingdings" w:hAnsi="Wingdings" w:cs="Wingdings"/>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40688646491z0">
    <w:name w:val="40688646491z0"/>
    <w:qFormat/>
    <w:rPr/>
  </w:style>
  <w:style w:type="character" w:styleId="40688646491z1">
    <w:name w:val="40688646491z1"/>
    <w:qFormat/>
    <w:rPr/>
  </w:style>
  <w:style w:type="character" w:styleId="40688646491z2">
    <w:name w:val="40688646491z2"/>
    <w:qFormat/>
    <w:rPr/>
  </w:style>
  <w:style w:type="character" w:styleId="40688646491z3">
    <w:name w:val="40688646491z3"/>
    <w:qFormat/>
    <w:rPr/>
  </w:style>
  <w:style w:type="character" w:styleId="40688646491z4">
    <w:name w:val="40688646491z4"/>
    <w:qFormat/>
    <w:rPr/>
  </w:style>
  <w:style w:type="character" w:styleId="40688646491z5">
    <w:name w:val="40688646491z5"/>
    <w:qFormat/>
    <w:rPr/>
  </w:style>
  <w:style w:type="character" w:styleId="40688646491z6">
    <w:name w:val="40688646491z6"/>
    <w:qFormat/>
    <w:rPr/>
  </w:style>
  <w:style w:type="character" w:styleId="40688646491z7">
    <w:name w:val="40688646491z7"/>
    <w:qFormat/>
    <w:rPr/>
  </w:style>
  <w:style w:type="character" w:styleId="40688646491z8">
    <w:name w:val="40688646491z8"/>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1"/>
    <w:pPr>
      <w:suppressAutoHyphens w:val="false"/>
      <w:spacing w:lineRule="atLeast" w:line="100" w:before="0" w:after="120"/>
      <w:jc w:val="left"/>
    </w:pPr>
    <w:rPr>
      <w:rFonts w:ascii="Times New Roman" w:hAnsi="Times New Roman" w:eastAsia="Times New Roman" w:cs="Times New Roman"/>
      <w:sz w:val="20"/>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Mangal"/>
    </w:rPr>
  </w:style>
  <w:style w:type="paragraph" w:styleId="Nagwek11" w:customStyle="1">
    <w:name w:val="Nagłówek1"/>
    <w:basedOn w:val="Normal"/>
    <w:next w:val="Tretekstu"/>
    <w:qFormat/>
    <w:pPr>
      <w:keepNext w:val="true"/>
      <w:spacing w:before="240" w:after="120"/>
    </w:pPr>
    <w:rPr>
      <w:rFonts w:eastAsia="Microsoft YaHei" w:cs="Mangal"/>
      <w:sz w:val="28"/>
      <w:szCs w:val="28"/>
    </w:rPr>
  </w:style>
  <w:style w:type="paragraph" w:styleId="Podpis1" w:customStyle="1">
    <w:name w:val="Podpis1"/>
    <w:basedOn w:val="Normal"/>
    <w:qFormat/>
    <w:pPr>
      <w:suppressLineNumbers/>
      <w:spacing w:before="120" w:after="120"/>
    </w:pPr>
    <w:rPr>
      <w:rFonts w:cs="Mangal"/>
      <w:i/>
      <w:iCs/>
      <w:sz w:val="24"/>
      <w:szCs w:val="24"/>
    </w:rPr>
  </w:style>
  <w:style w:type="paragraph" w:styleId="Akapitzlist1" w:customStyle="1">
    <w:name w:val="Akapit z listą1"/>
    <w:basedOn w:val="Normal"/>
    <w:qFormat/>
    <w:pPr>
      <w:ind w:left="720" w:hanging="0"/>
    </w:pPr>
    <w:rPr>
      <w:rFonts w:eastAsia="Times New Roman" w:cs="Times New Roman"/>
    </w:rPr>
  </w:style>
  <w:style w:type="paragraph" w:styleId="Bezodstpw1" w:customStyle="1">
    <w:name w:val="Bez odstępów1"/>
    <w:qFormat/>
    <w:pPr>
      <w:widowControl/>
      <w:suppressAutoHyphens w:val="true"/>
      <w:bidi w:val="0"/>
      <w:spacing w:lineRule="atLeast" w:line="100" w:before="0" w:after="0"/>
      <w:jc w:val="left"/>
    </w:pPr>
    <w:rPr>
      <w:rFonts w:ascii="Calibri" w:hAnsi="Calibri" w:eastAsia="SimSun" w:cs="font271"/>
      <w:color w:val="auto"/>
      <w:kern w:val="0"/>
      <w:sz w:val="22"/>
      <w:szCs w:val="22"/>
      <w:lang w:val="pl-PL" w:eastAsia="ar-SA" w:bidi="ar-SA"/>
    </w:rPr>
  </w:style>
  <w:style w:type="paragraph" w:styleId="TOCHeading">
    <w:name w:val="TOC Heading"/>
    <w:basedOn w:val="Nagwek1"/>
    <w:qFormat/>
    <w:pPr>
      <w:suppressLineNumbers/>
      <w:tabs>
        <w:tab w:val="clear" w:pos="432"/>
      </w:tabs>
      <w:spacing w:lineRule="auto" w:line="276"/>
      <w:ind w:left="0" w:hanging="0"/>
      <w:jc w:val="left"/>
      <w:outlineLvl w:val="9"/>
    </w:pPr>
    <w:rPr>
      <w:rFonts w:ascii="Cambria" w:hAnsi="Cambria"/>
      <w:color w:val="365F91"/>
      <w:sz w:val="28"/>
      <w:szCs w:val="28"/>
    </w:rPr>
  </w:style>
  <w:style w:type="paragraph" w:styleId="Spistreci1">
    <w:name w:val="TOC 1"/>
    <w:basedOn w:val="Normal"/>
    <w:uiPriority w:val="39"/>
    <w:pPr>
      <w:tabs>
        <w:tab w:val="clear" w:pos="720"/>
        <w:tab w:val="right" w:pos="8636" w:leader="dot"/>
      </w:tabs>
      <w:spacing w:before="240" w:after="100"/>
    </w:pPr>
    <w:rPr/>
  </w:style>
  <w:style w:type="paragraph" w:styleId="Tekstdymka1" w:customStyle="1">
    <w:name w:val="Tekst dymka1"/>
    <w:basedOn w:val="Normal"/>
    <w:qFormat/>
    <w:pPr/>
    <w:rPr>
      <w:rFonts w:ascii="Tahoma" w:hAnsi="Tahoma" w:cs="Tahoma"/>
      <w:sz w:val="16"/>
      <w:szCs w:val="16"/>
    </w:rPr>
  </w:style>
  <w:style w:type="paragraph" w:styleId="Spistreci2">
    <w:name w:val="TOC 2"/>
    <w:basedOn w:val="Normal"/>
    <w:uiPriority w:val="39"/>
    <w:pPr>
      <w:tabs>
        <w:tab w:val="clear" w:pos="720"/>
        <w:tab w:val="right" w:pos="9355" w:leader="dot"/>
      </w:tabs>
      <w:spacing w:before="240" w:after="100"/>
      <w:ind w:left="220" w:hanging="0"/>
    </w:pPr>
    <w:rPr/>
  </w:style>
  <w:style w:type="paragraph" w:styleId="Gwkaistopka">
    <w:name w:val="Główka i stopka"/>
    <w:basedOn w:val="Normal"/>
    <w:qFormat/>
    <w:pPr/>
    <w:rPr/>
  </w:style>
  <w:style w:type="paragraph" w:styleId="Gwka">
    <w:name w:val="Header"/>
    <w:basedOn w:val="Normal"/>
    <w:link w:val="NagwekZnak1"/>
    <w:pPr>
      <w:suppressLineNumbers/>
      <w:tabs>
        <w:tab w:val="clear" w:pos="720"/>
        <w:tab w:val="center" w:pos="4536" w:leader="none"/>
        <w:tab w:val="right" w:pos="9072" w:leader="none"/>
      </w:tabs>
      <w:suppressAutoHyphens w:val="false"/>
      <w:spacing w:lineRule="atLeast" w:line="100" w:before="0" w:after="0"/>
      <w:jc w:val="left"/>
    </w:pPr>
    <w:rPr>
      <w:rFonts w:ascii="Times New Roman" w:hAnsi="Times New Roman" w:eastAsia="Times New Roman" w:cs="Times New Roman"/>
      <w:sz w:val="20"/>
    </w:rPr>
  </w:style>
  <w:style w:type="paragraph" w:styleId="Wcicietrecitekstu">
    <w:name w:val="Body Text Indent"/>
    <w:basedOn w:val="Normal"/>
    <w:link w:val="TekstpodstawowywcityZnak1"/>
    <w:pPr>
      <w:suppressAutoHyphens w:val="false"/>
      <w:spacing w:lineRule="atLeast" w:line="100" w:before="0" w:after="120"/>
      <w:ind w:left="283" w:hanging="0"/>
      <w:jc w:val="left"/>
    </w:pPr>
    <w:rPr>
      <w:rFonts w:ascii="Times New Roman" w:hAnsi="Times New Roman" w:eastAsia="Times New Roman" w:cs="Times New Roman"/>
      <w:sz w:val="20"/>
    </w:rPr>
  </w:style>
  <w:style w:type="paragraph" w:styleId="Tekstpodstawowy31" w:customStyle="1">
    <w:name w:val="Tekst podstawowy 31"/>
    <w:basedOn w:val="Normal"/>
    <w:qFormat/>
    <w:pPr>
      <w:suppressAutoHyphens w:val="false"/>
      <w:spacing w:lineRule="atLeast" w:line="480" w:before="0" w:after="0"/>
      <w:jc w:val="left"/>
    </w:pPr>
    <w:rPr>
      <w:rFonts w:eastAsia="Times New Roman" w:cs="Times New Roman"/>
      <w:sz w:val="24"/>
    </w:rPr>
  </w:style>
  <w:style w:type="paragraph" w:styleId="Tekstpodstawowy21" w:customStyle="1">
    <w:name w:val="Tekst podstawowy 21"/>
    <w:basedOn w:val="Normal"/>
    <w:qFormat/>
    <w:pPr>
      <w:tabs>
        <w:tab w:val="clear" w:pos="720"/>
        <w:tab w:val="left" w:pos="8647" w:leader="none"/>
        <w:tab w:val="left" w:pos="9072" w:leader="none"/>
      </w:tabs>
      <w:suppressAutoHyphens w:val="false"/>
      <w:spacing w:lineRule="atLeast" w:line="480" w:before="0" w:after="0"/>
      <w:ind w:right="-397" w:hanging="0"/>
    </w:pPr>
    <w:rPr>
      <w:rFonts w:eastAsia="Times New Roman" w:cs="Times New Roman"/>
      <w:sz w:val="24"/>
    </w:rPr>
  </w:style>
  <w:style w:type="paragraph" w:styleId="Tekstpodstawowywcity21" w:customStyle="1">
    <w:name w:val="Tekst podstawowy wcięty 21"/>
    <w:basedOn w:val="Normal"/>
    <w:qFormat/>
    <w:pPr>
      <w:spacing w:lineRule="auto" w:line="480" w:before="240" w:after="120"/>
      <w:ind w:left="283" w:hanging="0"/>
    </w:pPr>
    <w:rPr/>
  </w:style>
  <w:style w:type="paragraph" w:styleId="Standardowy1" w:customStyle="1">
    <w:name w:val="Standardowy1"/>
    <w:basedOn w:val="Normal"/>
    <w:qFormat/>
    <w:pPr>
      <w:suppressAutoHyphens w:val="false"/>
      <w:spacing w:lineRule="atLeast" w:line="480" w:before="0" w:after="0"/>
      <w:jc w:val="left"/>
    </w:pPr>
    <w:rPr>
      <w:rFonts w:ascii="Courier New" w:hAnsi="Courier New" w:eastAsia="Times New Roman" w:cs="Times New Roman"/>
      <w:sz w:val="24"/>
    </w:rPr>
  </w:style>
  <w:style w:type="paragraph" w:styleId="Tytu">
    <w:name w:val="Title"/>
    <w:basedOn w:val="Normal"/>
    <w:next w:val="Podtytu"/>
    <w:link w:val="TytuZnak1"/>
    <w:qFormat/>
    <w:pPr>
      <w:suppressAutoHyphens w:val="false"/>
      <w:spacing w:lineRule="atLeast" w:line="100" w:before="0" w:after="0"/>
      <w:jc w:val="center"/>
    </w:pPr>
    <w:rPr>
      <w:rFonts w:eastAsia="Times New Roman"/>
      <w:b/>
      <w:bCs/>
      <w:sz w:val="24"/>
      <w:szCs w:val="24"/>
    </w:rPr>
  </w:style>
  <w:style w:type="paragraph" w:styleId="Podtytu">
    <w:name w:val="Subtitle"/>
    <w:basedOn w:val="Normal"/>
    <w:next w:val="Tretekstu"/>
    <w:link w:val="PodtytuZnak1"/>
    <w:qFormat/>
    <w:pPr>
      <w:suppressAutoHyphens w:val="false"/>
      <w:spacing w:lineRule="atLeast" w:line="100" w:before="0" w:after="0"/>
      <w:jc w:val="left"/>
    </w:pPr>
    <w:rPr>
      <w:rFonts w:ascii="Times New Roman" w:hAnsi="Times New Roman" w:eastAsia="Times New Roman" w:cs="Times New Roman"/>
      <w:i/>
      <w:iCs/>
      <w:sz w:val="28"/>
      <w:szCs w:val="28"/>
    </w:rPr>
  </w:style>
  <w:style w:type="paragraph" w:styleId="Tekstpodstawowywcity31" w:customStyle="1">
    <w:name w:val="Tekst podstawowy wcięty 31"/>
    <w:basedOn w:val="Normal"/>
    <w:qFormat/>
    <w:rsid w:val="008b3dbd"/>
    <w:pPr>
      <w:spacing w:lineRule="auto" w:line="240" w:before="0" w:after="0"/>
      <w:ind w:left="360" w:firstLine="348"/>
    </w:pPr>
    <w:rPr>
      <w:rFonts w:ascii="Times New Roman" w:hAnsi="Times New Roman" w:eastAsia="Times New Roman" w:cs="Times New Roman"/>
      <w:sz w:val="24"/>
      <w:szCs w:val="24"/>
      <w:lang w:eastAsia="zh-CN"/>
    </w:rPr>
  </w:style>
  <w:style w:type="paragraph" w:styleId="BalloonText">
    <w:name w:val="Balloon Text"/>
    <w:basedOn w:val="Normal"/>
    <w:link w:val="TekstdymkaZnak1"/>
    <w:uiPriority w:val="99"/>
    <w:semiHidden/>
    <w:unhideWhenUsed/>
    <w:qFormat/>
    <w:rsid w:val="00a06688"/>
    <w:pPr>
      <w:spacing w:lineRule="auto" w:line="240" w:before="0" w:after="0"/>
    </w:pPr>
    <w:rPr>
      <w:rFonts w:ascii="Segoe UI" w:hAnsi="Segoe UI" w:cs="Times New Roman"/>
      <w:sz w:val="18"/>
      <w:szCs w:val="18"/>
      <w:lang w:val="x-none"/>
    </w:rPr>
  </w:style>
  <w:style w:type="paragraph" w:styleId="Textbody" w:customStyle="1">
    <w:name w:val="Text body"/>
    <w:basedOn w:val="Normal"/>
    <w:qFormat/>
    <w:rsid w:val="00ad3e62"/>
    <w:pPr>
      <w:spacing w:lineRule="auto" w:line="240" w:before="100" w:after="0"/>
      <w:jc w:val="left"/>
      <w:textAlignment w:val="baseline"/>
    </w:pPr>
    <w:rPr>
      <w:rFonts w:eastAsia="Arial"/>
      <w:sz w:val="24"/>
      <w:szCs w:val="24"/>
      <w:lang w:val="en-US" w:eastAsia="en-US"/>
    </w:rPr>
  </w:style>
  <w:style w:type="paragraph" w:styleId="ListParagraph">
    <w:name w:val="List Paragraph"/>
    <w:basedOn w:val="Normal"/>
    <w:uiPriority w:val="34"/>
    <w:qFormat/>
    <w:rsid w:val="004f5f02"/>
    <w:pPr>
      <w:ind w:left="708" w:hanging="0"/>
    </w:pPr>
    <w:rPr/>
  </w:style>
  <w:style w:type="paragraph" w:styleId="Default" w:customStyle="1">
    <w:name w:val="Default"/>
    <w:qFormat/>
    <w:rsid w:val="00f9177b"/>
    <w:pPr>
      <w:widowControl/>
      <w:suppressAutoHyphens w:val="true"/>
      <w:bidi w:val="0"/>
      <w:spacing w:before="0" w:after="0"/>
      <w:jc w:val="left"/>
    </w:pPr>
    <w:rPr>
      <w:rFonts w:ascii="Times New Roman" w:hAnsi="Times New Roman" w:eastAsia="Times New Roman" w:cs="Times New Roman"/>
      <w:color w:val="000000"/>
      <w:kern w:val="0"/>
      <w:sz w:val="24"/>
      <w:szCs w:val="24"/>
      <w:lang w:val="pl-PL" w:eastAsia="pl-PL" w:bidi="ar-SA"/>
    </w:rPr>
  </w:style>
  <w:style w:type="paragraph" w:styleId="Stopka">
    <w:name w:val="Footer"/>
    <w:basedOn w:val="Normal"/>
    <w:link w:val="StopkaZnak"/>
    <w:uiPriority w:val="99"/>
    <w:unhideWhenUsed/>
    <w:rsid w:val="00184c8c"/>
    <w:pPr>
      <w:tabs>
        <w:tab w:val="clear" w:pos="720"/>
        <w:tab w:val="center" w:pos="4536" w:leader="none"/>
        <w:tab w:val="right" w:pos="9072" w:leader="none"/>
      </w:tabs>
    </w:pPr>
    <w:rPr/>
  </w:style>
  <w:style w:type="paragraph" w:styleId="NoSpacing">
    <w:name w:val="No Spacing"/>
    <w:link w:val="BezodstpwZnak"/>
    <w:uiPriority w:val="1"/>
    <w:qFormat/>
    <w:rsid w:val="00091a37"/>
    <w:pPr>
      <w:widowControl/>
      <w:suppressAutoHyphens w:val="true"/>
      <w:bidi w:val="0"/>
      <w:spacing w:before="0" w:after="0"/>
      <w:jc w:val="left"/>
    </w:pPr>
    <w:rPr>
      <w:rFonts w:ascii="Calibri" w:hAnsi="Calibri" w:eastAsia="Calibri" w:cs="Times New Roman"/>
      <w:color w:val="auto"/>
      <w:kern w:val="0"/>
      <w:sz w:val="22"/>
      <w:szCs w:val="22"/>
      <w:lang w:val="pl-PL" w:eastAsia="en-US" w:bidi="ar-SA"/>
    </w:rPr>
  </w:style>
  <w:style w:type="paragraph" w:styleId="StylPogrubienie" w:customStyle="1">
    <w:name w:val="Styl Pogrubienie"/>
    <w:basedOn w:val="Normal"/>
    <w:autoRedefine/>
    <w:qFormat/>
    <w:rsid w:val="00030b11"/>
    <w:pPr>
      <w:suppressAutoHyphens w:val="false"/>
      <w:spacing w:lineRule="auto" w:line="240" w:before="0" w:after="0"/>
      <w:ind w:left="4956" w:firstLine="2415"/>
      <w:jc w:val="right"/>
    </w:pPr>
    <w:rPr>
      <w:rFonts w:eastAsia="Times New Roman" w:cs="Times New Roman"/>
      <w:b/>
      <w:sz w:val="20"/>
      <w:szCs w:val="24"/>
      <w:lang w:eastAsia="pl-PL"/>
    </w:rPr>
  </w:style>
  <w:style w:type="paragraph" w:styleId="111" w:customStyle="1">
    <w:name w:val="1.1.1...."/>
    <w:basedOn w:val="Nagwek2"/>
    <w:qFormat/>
    <w:rsid w:val="008b3dbd"/>
    <w:pPr>
      <w:keepLines w:val="false"/>
      <w:widowControl w:val="false"/>
      <w:numPr>
        <w:ilvl w:val="0"/>
        <w:numId w:val="1"/>
      </w:numPr>
      <w:spacing w:lineRule="auto" w:line="240" w:before="240" w:after="120"/>
      <w:outlineLvl w:val="9"/>
    </w:pPr>
    <w:rPr>
      <w:rFonts w:eastAsia="Times New Roman" w:cs="Times New Roman"/>
      <w:iCs/>
      <w:sz w:val="24"/>
      <w:szCs w:val="28"/>
      <w:lang w:eastAsia="en-US"/>
    </w:rPr>
  </w:style>
  <w:style w:type="paragraph" w:styleId="11111" w:customStyle="1">
    <w:name w:val="1.1.1.1.1...."/>
    <w:basedOn w:val="Normal"/>
    <w:qFormat/>
    <w:rsid w:val="008b3dbd"/>
    <w:pPr>
      <w:keepNext w:val="true"/>
      <w:widowControl w:val="false"/>
      <w:spacing w:lineRule="auto" w:line="240" w:before="120" w:after="120"/>
      <w:outlineLvl w:val="2"/>
    </w:pPr>
    <w:rPr>
      <w:rFonts w:eastAsia="Times New Roman" w:cs="Times New Roman"/>
      <w:b/>
      <w:bCs/>
      <w:i/>
      <w:sz w:val="20"/>
      <w:lang w:eastAsia="pl-PL"/>
    </w:rPr>
  </w:style>
  <w:style w:type="paragraph" w:styleId="Akapitzlist2" w:customStyle="1">
    <w:name w:val="Akapit z listą2"/>
    <w:basedOn w:val="Normal"/>
    <w:qFormat/>
    <w:rsid w:val="008d3bcf"/>
    <w:pPr>
      <w:ind w:left="720" w:hanging="0"/>
    </w:pPr>
    <w:rPr>
      <w:rFonts w:eastAsia="Times New Roman" w:cs="Times New Roman"/>
    </w:rPr>
  </w:style>
  <w:style w:type="paragraph" w:styleId="Akapitzlist3" w:customStyle="1">
    <w:name w:val="Akapit z listą3"/>
    <w:basedOn w:val="Normal"/>
    <w:qFormat/>
    <w:rsid w:val="00665cb6"/>
    <w:pPr>
      <w:ind w:left="720" w:hanging="0"/>
    </w:pPr>
    <w:rPr>
      <w:rFonts w:eastAsia="Times New Roman" w:cs="Times New Roman"/>
    </w:rPr>
  </w:style>
  <w:style w:type="paragraph" w:styleId="M6265339824676364936gmailtekstpodstawowy31" w:customStyle="1">
    <w:name w:val="m_-6265339824676364936gmail-tekstpodstawowy31"/>
    <w:basedOn w:val="Normal"/>
    <w:qFormat/>
    <w:rsid w:val="00a914bb"/>
    <w:pPr>
      <w:suppressAutoHyphens w:val="false"/>
      <w:spacing w:lineRule="auto" w:line="240" w:beforeAutospacing="1" w:afterAutospacing="1"/>
      <w:jc w:val="left"/>
    </w:pPr>
    <w:rPr>
      <w:rFonts w:ascii="Times New Roman" w:hAnsi="Times New Roman" w:eastAsia="Times New Roman" w:cs="Times New Roman"/>
      <w:sz w:val="24"/>
      <w:szCs w:val="24"/>
      <w:lang w:eastAsia="pl-PL"/>
    </w:rPr>
  </w:style>
  <w:style w:type="paragraph" w:styleId="BodyText2">
    <w:name w:val="Body Text 2"/>
    <w:basedOn w:val="Normal"/>
    <w:link w:val="Tekstpodstawowy2Znak1"/>
    <w:uiPriority w:val="99"/>
    <w:semiHidden/>
    <w:unhideWhenUsed/>
    <w:qFormat/>
    <w:rsid w:val="002f799a"/>
    <w:pPr>
      <w:spacing w:lineRule="auto" w:line="480" w:before="240" w:after="120"/>
    </w:pPr>
    <w:rPr/>
  </w:style>
  <w:style w:type="paragraph" w:styleId="Akapit" w:customStyle="1">
    <w:name w:val="Akapit"/>
    <w:basedOn w:val="Nagwek2"/>
    <w:next w:val="Normal"/>
    <w:link w:val="AkapitZnak"/>
    <w:qFormat/>
    <w:rsid w:val="00057e8b"/>
    <w:pPr>
      <w:outlineLvl w:val="9"/>
    </w:pPr>
    <w:rPr>
      <w:sz w:val="22"/>
    </w:rPr>
  </w:style>
  <w:style w:type="paragraph" w:styleId="SpistreciPZT" w:customStyle="1">
    <w:name w:val="Spis treści PZT"/>
    <w:basedOn w:val="Normal"/>
    <w:link w:val="SpistreciPZTZnak"/>
    <w:autoRedefine/>
    <w:qFormat/>
    <w:rsid w:val="0067327a"/>
    <w:pPr>
      <w:tabs>
        <w:tab w:val="clear" w:pos="720"/>
        <w:tab w:val="right" w:pos="8647" w:leader="dot"/>
      </w:tabs>
      <w:spacing w:lineRule="auto" w:line="276" w:before="0" w:after="0"/>
      <w:ind w:right="1" w:hanging="0"/>
    </w:pPr>
    <w:rPr/>
  </w:style>
  <w:style w:type="paragraph" w:styleId="Nagwek111" w:customStyle="1">
    <w:name w:val="Nagłówek 11"/>
    <w:basedOn w:val="Normal"/>
    <w:next w:val="Textbody"/>
    <w:qFormat/>
    <w:rsid w:val="00e12efd"/>
    <w:pPr>
      <w:keepNext w:val="true"/>
      <w:spacing w:lineRule="auto" w:line="240" w:before="240" w:after="120"/>
      <w:jc w:val="left"/>
      <w:textAlignment w:val="baseline"/>
      <w:outlineLvl w:val="0"/>
    </w:pPr>
    <w:rPr>
      <w:rFonts w:eastAsia="Microsoft YaHei" w:cs="Lucida Sans"/>
      <w:b/>
      <w:bCs/>
      <w:kern w:val="2"/>
      <w:sz w:val="24"/>
      <w:szCs w:val="28"/>
      <w:lang w:eastAsia="zh-CN" w:bidi="hi-IN"/>
    </w:rPr>
  </w:style>
  <w:style w:type="paragraph" w:styleId="Nagwek21" w:customStyle="1">
    <w:name w:val="Nagłówek 21"/>
    <w:basedOn w:val="Normal"/>
    <w:next w:val="Textbody"/>
    <w:qFormat/>
    <w:rsid w:val="00e12efd"/>
    <w:pPr>
      <w:keepNext w:val="true"/>
      <w:spacing w:lineRule="auto" w:line="240" w:before="200" w:after="120"/>
      <w:jc w:val="left"/>
      <w:textAlignment w:val="baseline"/>
      <w:outlineLvl w:val="1"/>
    </w:pPr>
    <w:rPr>
      <w:rFonts w:eastAsia="Microsoft YaHei" w:cs="Lucida Sans"/>
      <w:b/>
      <w:bCs/>
      <w:kern w:val="2"/>
      <w:szCs w:val="28"/>
      <w:lang w:eastAsia="zh-CN" w:bidi="hi-IN"/>
    </w:rPr>
  </w:style>
  <w:style w:type="paragraph" w:styleId="Nagwek31" w:customStyle="1">
    <w:name w:val="Nagłówek 31"/>
    <w:basedOn w:val="Normal"/>
    <w:next w:val="Textbody"/>
    <w:qFormat/>
    <w:rsid w:val="00e12efd"/>
    <w:pPr>
      <w:keepNext w:val="true"/>
      <w:spacing w:lineRule="auto" w:line="240" w:before="140" w:after="120"/>
      <w:jc w:val="left"/>
      <w:textAlignment w:val="baseline"/>
      <w:outlineLvl w:val="2"/>
    </w:pPr>
    <w:rPr>
      <w:rFonts w:eastAsia="Microsoft YaHei" w:cs="Lucida Sans"/>
      <w:b/>
      <w:bCs/>
      <w:i/>
      <w:kern w:val="2"/>
      <w:sz w:val="20"/>
      <w:szCs w:val="28"/>
      <w:lang w:eastAsia="zh-CN" w:bidi="hi-IN"/>
    </w:rPr>
  </w:style>
  <w:style w:type="paragraph" w:styleId="Przypiskocowy">
    <w:name w:val="Endnote Text"/>
    <w:basedOn w:val="Normal"/>
    <w:link w:val="TekstprzypisukocowegoZnak"/>
    <w:uiPriority w:val="99"/>
    <w:semiHidden/>
    <w:unhideWhenUsed/>
    <w:rsid w:val="007c1f41"/>
    <w:pPr>
      <w:spacing w:lineRule="auto" w:line="240" w:before="0" w:after="0"/>
    </w:pPr>
    <w:rPr>
      <w:sz w:val="20"/>
    </w:rPr>
  </w:style>
  <w:style w:type="paragraph" w:styleId="BodyTextIndent2">
    <w:name w:val="Body Text Indent 2"/>
    <w:basedOn w:val="Normal"/>
    <w:link w:val="Tekstpodstawowywcity2Znak"/>
    <w:unhideWhenUsed/>
    <w:qFormat/>
    <w:rsid w:val="00042947"/>
    <w:pPr>
      <w:spacing w:lineRule="auto" w:line="480" w:before="0" w:after="120"/>
      <w:ind w:left="283" w:hanging="0"/>
      <w:jc w:val="left"/>
    </w:pPr>
    <w:rPr>
      <w:rFonts w:eastAsia="Times New Roman"/>
      <w:sz w:val="20"/>
      <w:lang w:eastAsia="pl-PL"/>
    </w:rPr>
  </w:style>
  <w:style w:type="paragraph" w:styleId="Techtabela" w:customStyle="1">
    <w:name w:val="tech_tabela"/>
    <w:basedOn w:val="Normal"/>
    <w:qFormat/>
    <w:rsid w:val="00042947"/>
    <w:pPr>
      <w:suppressAutoHyphens w:val="false"/>
      <w:spacing w:lineRule="auto" w:line="240" w:before="120" w:after="0"/>
      <w:jc w:val="left"/>
    </w:pPr>
    <w:rPr>
      <w:rFonts w:eastAsia="Times New Roman" w:cs="Times New Roman"/>
      <w:sz w:val="20"/>
      <w:lang w:eastAsia="pl-PL"/>
    </w:rPr>
  </w:style>
  <w:style w:type="paragraph" w:styleId="Nagwek12" w:customStyle="1">
    <w:name w:val="Nagłówek 12"/>
    <w:basedOn w:val="Normal"/>
    <w:next w:val="Textbody"/>
    <w:qFormat/>
    <w:rsid w:val="00695e03"/>
    <w:pPr>
      <w:keepNext w:val="true"/>
      <w:spacing w:lineRule="auto" w:line="240" w:before="240" w:after="120"/>
      <w:jc w:val="left"/>
      <w:textAlignment w:val="baseline"/>
      <w:outlineLvl w:val="0"/>
    </w:pPr>
    <w:rPr>
      <w:rFonts w:eastAsia="Microsoft YaHei" w:cs="Lucida Sans"/>
      <w:b/>
      <w:bCs/>
      <w:kern w:val="2"/>
      <w:sz w:val="28"/>
      <w:szCs w:val="28"/>
      <w:lang w:eastAsia="zh-CN" w:bidi="hi-IN"/>
    </w:rPr>
  </w:style>
  <w:style w:type="paragraph" w:styleId="Nagwek22" w:customStyle="1">
    <w:name w:val="Nagłówek 22"/>
    <w:basedOn w:val="Normal"/>
    <w:next w:val="Textbody"/>
    <w:qFormat/>
    <w:rsid w:val="00695e03"/>
    <w:pPr>
      <w:keepNext w:val="true"/>
      <w:suppressAutoHyphens w:val="false"/>
      <w:spacing w:lineRule="auto" w:line="240" w:before="200" w:after="120"/>
      <w:jc w:val="left"/>
      <w:textAlignment w:val="baseline"/>
      <w:outlineLvl w:val="1"/>
    </w:pPr>
    <w:rPr>
      <w:rFonts w:eastAsia="Microsoft YaHei" w:cs="Lucida Sans"/>
      <w:b/>
      <w:bCs/>
      <w:kern w:val="2"/>
      <w:sz w:val="24"/>
      <w:szCs w:val="28"/>
      <w:lang w:eastAsia="zh-CN" w:bidi="hi-IN"/>
    </w:rPr>
  </w:style>
  <w:style w:type="paragraph" w:styleId="Nagwek32" w:customStyle="1">
    <w:name w:val="Nagłówek 32"/>
    <w:basedOn w:val="Normal"/>
    <w:next w:val="Textbody"/>
    <w:qFormat/>
    <w:rsid w:val="00695e03"/>
    <w:pPr>
      <w:keepNext w:val="true"/>
      <w:spacing w:lineRule="auto" w:line="240" w:before="140" w:after="120"/>
      <w:jc w:val="left"/>
      <w:textAlignment w:val="baseline"/>
      <w:outlineLvl w:val="2"/>
    </w:pPr>
    <w:rPr>
      <w:rFonts w:eastAsia="Microsoft YaHei" w:cs="Lucida Sans"/>
      <w:b/>
      <w:bCs/>
      <w:i/>
      <w:kern w:val="2"/>
      <w:sz w:val="24"/>
      <w:szCs w:val="28"/>
      <w:lang w:eastAsia="zh-CN" w:bidi="hi-IN"/>
    </w:rPr>
  </w:style>
  <w:style w:type="paragraph" w:styleId="Normalny12" w:customStyle="1">
    <w:name w:val="Normalny 12"/>
    <w:basedOn w:val="Normal"/>
    <w:qFormat/>
    <w:rsid w:val="00695e03"/>
    <w:pPr>
      <w:spacing w:lineRule="auto" w:line="240" w:before="0" w:after="0"/>
      <w:textAlignment w:val="baseline"/>
    </w:pPr>
    <w:rPr>
      <w:rFonts w:eastAsia="Arial"/>
      <w:kern w:val="2"/>
      <w:sz w:val="24"/>
      <w:szCs w:val="24"/>
      <w:lang w:eastAsia="zh-CN" w:bidi="hi-IN"/>
    </w:rPr>
  </w:style>
  <w:style w:type="paragraph" w:styleId="Spistreci3">
    <w:name w:val="TOC 3"/>
    <w:basedOn w:val="Normal"/>
    <w:next w:val="Normal"/>
    <w:autoRedefine/>
    <w:uiPriority w:val="39"/>
    <w:unhideWhenUsed/>
    <w:rsid w:val="003631d2"/>
    <w:pPr>
      <w:suppressAutoHyphens w:val="false"/>
      <w:spacing w:lineRule="auto" w:line="276" w:before="0" w:after="100"/>
      <w:ind w:left="440" w:hanging="0"/>
      <w:jc w:val="left"/>
    </w:pPr>
    <w:rPr>
      <w:rFonts w:ascii="Calibri" w:hAnsi="Calibri" w:eastAsia="" w:cs="" w:asciiTheme="minorHAnsi" w:cstheme="minorBidi" w:eastAsiaTheme="minorEastAsia" w:hAnsiTheme="minorHAnsi"/>
      <w:szCs w:val="22"/>
      <w:lang w:eastAsia="pl-PL"/>
    </w:rPr>
  </w:style>
  <w:style w:type="paragraph" w:styleId="Spistreci4">
    <w:name w:val="TOC 4"/>
    <w:basedOn w:val="Normal"/>
    <w:next w:val="Normal"/>
    <w:autoRedefine/>
    <w:uiPriority w:val="39"/>
    <w:unhideWhenUsed/>
    <w:rsid w:val="003631d2"/>
    <w:pPr>
      <w:suppressAutoHyphens w:val="false"/>
      <w:spacing w:lineRule="auto" w:line="276" w:before="0" w:after="100"/>
      <w:ind w:left="660" w:hanging="0"/>
      <w:jc w:val="left"/>
    </w:pPr>
    <w:rPr>
      <w:rFonts w:ascii="Calibri" w:hAnsi="Calibri" w:eastAsia="" w:cs="" w:asciiTheme="minorHAnsi" w:cstheme="minorBidi" w:eastAsiaTheme="minorEastAsia" w:hAnsiTheme="minorHAnsi"/>
      <w:szCs w:val="22"/>
      <w:lang w:eastAsia="pl-PL"/>
    </w:rPr>
  </w:style>
  <w:style w:type="paragraph" w:styleId="Spistreci5">
    <w:name w:val="TOC 5"/>
    <w:basedOn w:val="Normal"/>
    <w:next w:val="Normal"/>
    <w:autoRedefine/>
    <w:uiPriority w:val="39"/>
    <w:unhideWhenUsed/>
    <w:rsid w:val="003631d2"/>
    <w:pPr>
      <w:suppressAutoHyphens w:val="false"/>
      <w:spacing w:lineRule="auto" w:line="276" w:before="0" w:after="100"/>
      <w:ind w:left="880" w:hanging="0"/>
      <w:jc w:val="left"/>
    </w:pPr>
    <w:rPr>
      <w:rFonts w:ascii="Calibri" w:hAnsi="Calibri" w:eastAsia="" w:cs="" w:asciiTheme="minorHAnsi" w:cstheme="minorBidi" w:eastAsiaTheme="minorEastAsia" w:hAnsiTheme="minorHAnsi"/>
      <w:szCs w:val="22"/>
      <w:lang w:eastAsia="pl-PL"/>
    </w:rPr>
  </w:style>
  <w:style w:type="paragraph" w:styleId="Spistreci6">
    <w:name w:val="TOC 6"/>
    <w:basedOn w:val="Normal"/>
    <w:next w:val="Normal"/>
    <w:autoRedefine/>
    <w:uiPriority w:val="39"/>
    <w:unhideWhenUsed/>
    <w:rsid w:val="003631d2"/>
    <w:pPr>
      <w:suppressAutoHyphens w:val="false"/>
      <w:spacing w:lineRule="auto" w:line="276" w:before="0" w:after="100"/>
      <w:ind w:left="1100" w:hanging="0"/>
      <w:jc w:val="left"/>
    </w:pPr>
    <w:rPr>
      <w:rFonts w:ascii="Calibri" w:hAnsi="Calibri" w:eastAsia="" w:cs="" w:asciiTheme="minorHAnsi" w:cstheme="minorBidi" w:eastAsiaTheme="minorEastAsia" w:hAnsiTheme="minorHAnsi"/>
      <w:szCs w:val="22"/>
      <w:lang w:eastAsia="pl-PL"/>
    </w:rPr>
  </w:style>
  <w:style w:type="paragraph" w:styleId="Spistreci7">
    <w:name w:val="TOC 7"/>
    <w:basedOn w:val="Normal"/>
    <w:next w:val="Normal"/>
    <w:autoRedefine/>
    <w:uiPriority w:val="39"/>
    <w:unhideWhenUsed/>
    <w:rsid w:val="003631d2"/>
    <w:pPr>
      <w:suppressAutoHyphens w:val="false"/>
      <w:spacing w:lineRule="auto" w:line="276" w:before="0" w:after="100"/>
      <w:ind w:left="1320" w:hanging="0"/>
      <w:jc w:val="left"/>
    </w:pPr>
    <w:rPr>
      <w:rFonts w:ascii="Calibri" w:hAnsi="Calibri" w:eastAsia="" w:cs="" w:asciiTheme="minorHAnsi" w:cstheme="minorBidi" w:eastAsiaTheme="minorEastAsia" w:hAnsiTheme="minorHAnsi"/>
      <w:szCs w:val="22"/>
      <w:lang w:eastAsia="pl-PL"/>
    </w:rPr>
  </w:style>
  <w:style w:type="paragraph" w:styleId="Spistreci8">
    <w:name w:val="TOC 8"/>
    <w:basedOn w:val="Normal"/>
    <w:next w:val="Normal"/>
    <w:autoRedefine/>
    <w:uiPriority w:val="39"/>
    <w:unhideWhenUsed/>
    <w:rsid w:val="003631d2"/>
    <w:pPr>
      <w:suppressAutoHyphens w:val="false"/>
      <w:spacing w:lineRule="auto" w:line="276" w:before="0" w:after="100"/>
      <w:ind w:left="1540" w:hanging="0"/>
      <w:jc w:val="left"/>
    </w:pPr>
    <w:rPr>
      <w:rFonts w:ascii="Calibri" w:hAnsi="Calibri" w:eastAsia="" w:cs="" w:asciiTheme="minorHAnsi" w:cstheme="minorBidi" w:eastAsiaTheme="minorEastAsia" w:hAnsiTheme="minorHAnsi"/>
      <w:szCs w:val="22"/>
      <w:lang w:eastAsia="pl-PL"/>
    </w:rPr>
  </w:style>
  <w:style w:type="paragraph" w:styleId="Spistreci9">
    <w:name w:val="TOC 9"/>
    <w:basedOn w:val="Normal"/>
    <w:next w:val="Normal"/>
    <w:autoRedefine/>
    <w:uiPriority w:val="39"/>
    <w:unhideWhenUsed/>
    <w:rsid w:val="003631d2"/>
    <w:pPr>
      <w:suppressAutoHyphens w:val="false"/>
      <w:spacing w:lineRule="auto" w:line="276" w:before="0" w:after="100"/>
      <w:ind w:left="1760" w:hanging="0"/>
      <w:jc w:val="left"/>
    </w:pPr>
    <w:rPr>
      <w:rFonts w:ascii="Calibri" w:hAnsi="Calibri" w:eastAsia="" w:cs="" w:asciiTheme="minorHAnsi" w:cstheme="minorBidi" w:eastAsiaTheme="minorEastAsia" w:hAnsiTheme="minorHAnsi"/>
      <w:szCs w:val="22"/>
      <w:lang w:eastAsia="pl-PL"/>
    </w:rPr>
  </w:style>
  <w:style w:type="paragraph" w:styleId="NRST">
    <w:name w:val="NR ST"/>
    <w:basedOn w:val="Normal"/>
    <w:next w:val="Nagwek1"/>
    <w:qFormat/>
    <w:pPr>
      <w:widowControl/>
      <w:suppressLineNumbers/>
      <w:tabs>
        <w:tab w:val="clear" w:pos="720"/>
        <w:tab w:val="left" w:pos="-31680" w:leader="none"/>
        <w:tab w:val="left" w:pos="-31279" w:leader="none"/>
        <w:tab w:val="left" w:pos="-30379" w:leader="none"/>
        <w:tab w:val="left" w:pos="58" w:leader="none"/>
        <w:tab w:val="left" w:pos="957" w:leader="none"/>
        <w:tab w:val="left" w:pos="1857" w:leader="none"/>
        <w:tab w:val="left" w:pos="2757" w:leader="none"/>
        <w:tab w:val="left" w:pos="3657" w:leader="none"/>
        <w:tab w:val="left" w:pos="4557" w:leader="none"/>
        <w:tab w:val="left" w:pos="5457" w:leader="none"/>
        <w:tab w:val="left" w:pos="6357" w:leader="none"/>
        <w:tab w:val="left" w:pos="7257" w:leader="none"/>
        <w:tab w:val="left" w:pos="8157" w:leader="none"/>
        <w:tab w:val="left" w:pos="9057" w:leader="none"/>
        <w:tab w:val="left" w:pos="9957" w:leader="none"/>
        <w:tab w:val="left" w:pos="10857" w:leader="none"/>
        <w:tab w:val="left" w:pos="11757" w:leader="none"/>
        <w:tab w:val="left" w:pos="12657" w:leader="none"/>
        <w:tab w:val="left" w:pos="13557" w:leader="none"/>
        <w:tab w:val="left" w:pos="14457" w:leader="none"/>
        <w:tab w:val="left" w:pos="15357" w:leader="none"/>
        <w:tab w:val="left" w:pos="16257" w:leader="none"/>
        <w:tab w:val="left" w:pos="17157" w:leader="none"/>
        <w:tab w:val="left" w:pos="18057" w:leader="none"/>
        <w:tab w:val="left" w:pos="18957" w:leader="none"/>
        <w:tab w:val="left" w:pos="19857" w:leader="none"/>
        <w:tab w:val="left" w:pos="20757" w:leader="none"/>
        <w:tab w:val="left" w:pos="21657" w:leader="none"/>
        <w:tab w:val="left" w:pos="22557" w:leader="none"/>
        <w:tab w:val="left" w:pos="23457" w:leader="none"/>
        <w:tab w:val="left" w:pos="24357" w:leader="none"/>
        <w:tab w:val="left" w:pos="25257" w:leader="none"/>
        <w:tab w:val="left" w:pos="26157" w:leader="none"/>
        <w:tab w:val="left" w:pos="27057" w:leader="none"/>
        <w:tab w:val="left" w:pos="27957" w:leader="none"/>
        <w:tab w:val="left" w:pos="28857" w:leader="none"/>
        <w:tab w:val="left" w:pos="29757" w:leader="none"/>
        <w:tab w:val="left" w:pos="30657" w:leader="none"/>
        <w:tab w:val="left" w:pos="31557" w:leader="none"/>
        <w:tab w:val="left" w:pos="31680" w:leader="none"/>
      </w:tabs>
      <w:suppressAutoHyphens w:val="true"/>
      <w:bidi w:val="0"/>
      <w:spacing w:lineRule="auto" w:line="240" w:before="170" w:after="170"/>
      <w:ind w:left="0" w:right="0" w:hanging="0"/>
    </w:pPr>
    <w:rPr>
      <w:rFonts w:ascii="Times New;Times New Roman" w:hAnsi="Times New;Times New Roman" w:eastAsia="Times New Roman" w:cs="CG Times;Times New Roman"/>
      <w:b/>
      <w:smallCaps/>
      <w:color w:val="000000"/>
      <w:sz w:val="32"/>
      <w:szCs w:val="32"/>
    </w:rPr>
  </w:style>
  <w:style w:type="paragraph" w:styleId="Z11">
    <w:name w:val="z11"/>
    <w:qFormat/>
    <w:pPr>
      <w:widowControl w:val="false"/>
      <w:suppressAutoHyphens w:val="true"/>
      <w:bidi w:val="0"/>
      <w:spacing w:lineRule="exact" w:line="224" w:before="57" w:after="0"/>
      <w:jc w:val="both"/>
    </w:pPr>
    <w:rPr>
      <w:rFonts w:ascii="Times New Roman" w:hAnsi="Times New Roman" w:eastAsia="Times New Roman" w:cs="Times New Roman"/>
      <w:color w:val="000000"/>
      <w:kern w:val="0"/>
      <w:sz w:val="19"/>
      <w:szCs w:val="19"/>
      <w:u w:val="single"/>
      <w:lang w:val="pl-PL" w:eastAsia="pl-PL" w:bidi="ar-SA"/>
    </w:rPr>
  </w:style>
  <w:style w:type="paragraph" w:styleId="Znormal">
    <w:name w:val="z_normal"/>
    <w:qFormat/>
    <w:pPr>
      <w:widowControl w:val="false"/>
      <w:suppressAutoHyphens w:val="true"/>
      <w:bidi w:val="0"/>
      <w:spacing w:lineRule="auto" w:line="360" w:before="0" w:after="0"/>
      <w:ind w:left="397" w:right="0" w:hanging="0"/>
      <w:jc w:val="both"/>
    </w:pPr>
    <w:rPr>
      <w:rFonts w:ascii="Times New Roman" w:hAnsi="Times New Roman" w:eastAsia="Times New Roman" w:cs="Times New Roman"/>
      <w:color w:val="000000"/>
      <w:kern w:val="0"/>
      <w:sz w:val="22"/>
      <w:szCs w:val="23"/>
      <w:lang w:val="pl-PL" w:eastAsia="pl-PL" w:bidi="ar-SA"/>
    </w:rPr>
  </w:style>
  <w:style w:type="paragraph" w:styleId="KRESKA">
    <w:name w:val="KRESKA"/>
    <w:basedOn w:val="Znormal"/>
    <w:qFormat/>
    <w:pPr>
      <w:numPr>
        <w:ilvl w:val="0"/>
        <w:numId w:val="17"/>
      </w:numPr>
      <w:tabs>
        <w:tab w:val="clear" w:pos="720"/>
        <w:tab w:val="left" w:pos="851" w:leader="none"/>
      </w:tabs>
      <w:ind w:left="851" w:right="0" w:hanging="425"/>
    </w:pPr>
    <w:rPr/>
  </w:style>
  <w:style w:type="paragraph" w:styleId="Z3">
    <w:name w:val="z3"/>
    <w:qFormat/>
    <w:pPr>
      <w:keepNext w:val="true"/>
      <w:widowControl w:val="false"/>
      <w:suppressAutoHyphens w:val="true"/>
      <w:bidi w:val="0"/>
      <w:spacing w:lineRule="auto" w:line="360" w:before="57" w:after="0"/>
      <w:ind w:left="397" w:right="0" w:hanging="0"/>
      <w:jc w:val="both"/>
    </w:pPr>
    <w:rPr>
      <w:rFonts w:ascii="Times New Roman" w:hAnsi="Times New Roman" w:eastAsia="Times New Roman" w:cs="Times New Roman"/>
      <w:color w:val="000000"/>
      <w:kern w:val="0"/>
      <w:sz w:val="22"/>
      <w:szCs w:val="23"/>
      <w:lang w:val="pl-PL" w:eastAsia="pl-PL" w:bidi="ar-SA"/>
    </w:rPr>
  </w:style>
  <w:style w:type="paragraph" w:styleId="Z4">
    <w:name w:val="z4"/>
    <w:qFormat/>
    <w:pPr>
      <w:widowControl w:val="false"/>
      <w:tabs>
        <w:tab w:val="clear" w:pos="720"/>
        <w:tab w:val="left" w:pos="939" w:leader="none"/>
      </w:tabs>
      <w:suppressAutoHyphens w:val="true"/>
      <w:bidi w:val="0"/>
      <w:spacing w:lineRule="auto" w:line="360" w:before="57" w:after="0"/>
      <w:ind w:left="0" w:right="0" w:firstLine="397"/>
      <w:jc w:val="both"/>
    </w:pPr>
    <w:rPr>
      <w:rFonts w:ascii="Times New Roman" w:hAnsi="Times New Roman" w:eastAsia="Times New Roman" w:cs="Times New Roman"/>
      <w:color w:val="000000"/>
      <w:kern w:val="0"/>
      <w:sz w:val="22"/>
      <w:szCs w:val="23"/>
      <w:lang w:val="pl-PL" w:eastAsia="pl-PL" w:bidi="ar-SA"/>
    </w:rPr>
  </w:style>
  <w:style w:type="paragraph" w:styleId="Zal">
    <w:name w:val="zal"/>
    <w:qFormat/>
    <w:pPr>
      <w:widowControl w:val="false"/>
      <w:suppressAutoHyphens w:val="true"/>
      <w:bidi w:val="0"/>
      <w:spacing w:lineRule="exact" w:line="259" w:before="0" w:after="113"/>
      <w:ind w:left="0" w:right="0" w:firstLine="283"/>
      <w:jc w:val="right"/>
    </w:pPr>
    <w:rPr>
      <w:rFonts w:ascii="Times New Roman" w:hAnsi="Times New Roman" w:eastAsia="Times New Roman" w:cs="Times New Roman"/>
      <w:b/>
      <w:bCs/>
      <w:color w:val="000000"/>
      <w:kern w:val="0"/>
      <w:sz w:val="22"/>
      <w:szCs w:val="23"/>
      <w:u w:val="single"/>
      <w:lang w:val="pl-PL" w:eastAsia="pl-PL" w:bidi="ar-SA"/>
    </w:rPr>
  </w:style>
  <w:style w:type="paragraph" w:styleId="Z1">
    <w:name w:val="z1"/>
    <w:qFormat/>
    <w:pPr>
      <w:widowControl w:val="false"/>
      <w:tabs>
        <w:tab w:val="clear" w:pos="720"/>
        <w:tab w:val="left" w:pos="397" w:leader="none"/>
      </w:tabs>
      <w:suppressAutoHyphens w:val="true"/>
      <w:bidi w:val="0"/>
      <w:spacing w:lineRule="auto" w:line="360" w:before="170" w:after="0"/>
      <w:jc w:val="both"/>
    </w:pPr>
    <w:rPr>
      <w:rFonts w:ascii="Times New Roman" w:hAnsi="Times New Roman" w:eastAsia="Times New Roman" w:cs="Times New Roman"/>
      <w:b/>
      <w:bCs/>
      <w:color w:val="000000"/>
      <w:kern w:val="0"/>
      <w:sz w:val="28"/>
      <w:szCs w:val="23"/>
      <w:lang w:val="pl-PL" w:eastAsia="pl-PL" w:bidi="ar-SA"/>
    </w:rPr>
  </w:style>
  <w:style w:type="paragraph" w:styleId="Znormalefekt">
    <w:name w:val="z_normal_efekt"/>
    <w:qFormat/>
    <w:pPr>
      <w:widowControl w:val="false"/>
      <w:suppressAutoHyphens w:val="true"/>
      <w:bidi w:val="0"/>
      <w:spacing w:lineRule="auto" w:line="360" w:before="0" w:after="0"/>
      <w:ind w:left="681" w:right="0" w:hanging="284"/>
      <w:jc w:val="both"/>
    </w:pPr>
    <w:rPr>
      <w:rFonts w:ascii="Times New Roman" w:hAnsi="Times New Roman" w:eastAsia="Times New Roman" w:cs="Times New Roman"/>
      <w:color w:val="000000"/>
      <w:kern w:val="0"/>
      <w:sz w:val="22"/>
      <w:szCs w:val="23"/>
      <w:lang w:val="pl-PL" w:eastAsia="pl-PL" w:bidi="ar-SA"/>
    </w:rPr>
  </w:style>
  <w:style w:type="paragraph" w:styleId="BOMBA">
    <w:name w:val="BOMBA"/>
    <w:basedOn w:val="Znormalefekt"/>
    <w:qFormat/>
    <w:pPr>
      <w:numPr>
        <w:ilvl w:val="0"/>
        <w:numId w:val="18"/>
      </w:numPr>
      <w:tabs>
        <w:tab w:val="clear" w:pos="720"/>
        <w:tab w:val="left" w:pos="851" w:leader="none"/>
      </w:tabs>
      <w:ind w:left="851" w:right="0" w:hanging="425"/>
    </w:pPr>
    <w:rPr/>
  </w:style>
  <w:style w:type="paragraph" w:styleId="Tabela">
    <w:name w:val="tabela"/>
    <w:qFormat/>
    <w:pPr>
      <w:widowControl w:val="false"/>
      <w:suppressAutoHyphens w:val="true"/>
      <w:bidi w:val="0"/>
      <w:spacing w:before="100" w:after="0"/>
      <w:ind w:left="113" w:right="0" w:hanging="0"/>
      <w:jc w:val="left"/>
    </w:pPr>
    <w:rPr>
      <w:rFonts w:ascii="Times New Roman" w:hAnsi="Times New Roman" w:eastAsia="Times New Roman" w:cs="Times New Roman"/>
      <w:color w:val="000000"/>
      <w:kern w:val="0"/>
      <w:sz w:val="20"/>
      <w:szCs w:val="19"/>
      <w:lang w:val="pl-PL" w:eastAsia="pl-PL" w:bidi="ar-SA"/>
    </w:rPr>
  </w:style>
  <w:style w:type="paragraph" w:styleId="Tekstpodstawowywcity3">
    <w:name w:val="Tekst podstawowy wcięty 3"/>
    <w:basedOn w:val="Normal"/>
    <w:qFormat/>
    <w:pPr>
      <w:widowControl/>
      <w:bidi w:val="0"/>
      <w:ind w:left="397" w:right="0" w:hanging="0"/>
    </w:pPr>
    <w:rPr>
      <w:rFonts w:ascii="Times New Roman" w:hAnsi="Times New Roman" w:eastAsia="Times New Roman" w:cs="Times New Roman"/>
      <w:color w:val="000000"/>
      <w:sz w:val="20"/>
      <w:szCs w:val="19"/>
    </w:rPr>
  </w:style>
  <w:style w:type="paragraph" w:styleId="Abc">
    <w:name w:val="a b c"/>
    <w:basedOn w:val="Znormal"/>
    <w:qFormat/>
    <w:pPr>
      <w:ind w:left="0" w:right="0" w:hanging="0"/>
    </w:pPr>
    <w:rPr/>
  </w:style>
  <w:style w:type="paragraph" w:styleId="Z2">
    <w:name w:val="z2"/>
    <w:qFormat/>
    <w:pPr>
      <w:keepNext w:val="true"/>
      <w:widowControl w:val="false"/>
      <w:suppressAutoHyphens w:val="true"/>
      <w:bidi w:val="0"/>
      <w:spacing w:lineRule="auto" w:line="360" w:before="57" w:after="0"/>
      <w:jc w:val="both"/>
    </w:pPr>
    <w:rPr>
      <w:rFonts w:ascii="Times New Roman" w:hAnsi="Times New Roman" w:eastAsia="Times New Roman" w:cs="Times New Roman"/>
      <w:color w:val="000000"/>
      <w:kern w:val="0"/>
      <w:sz w:val="22"/>
      <w:szCs w:val="23"/>
      <w:u w:val="single"/>
      <w:lang w:val="pl-PL" w:eastAsia="pl-PL" w:bidi="ar-SA"/>
    </w:rPr>
  </w:style>
  <w:style w:type="paragraph" w:styleId="Ztabela">
    <w:name w:val="z_tabela"/>
    <w:qFormat/>
    <w:pPr>
      <w:widowControl w:val="false"/>
      <w:pBdr>
        <w:top w:val="single" w:sz="2" w:space="0" w:color="000000"/>
      </w:pBdr>
      <w:suppressAutoHyphens w:val="true"/>
      <w:bidi w:val="0"/>
      <w:spacing w:lineRule="auto" w:line="360" w:before="57" w:after="0"/>
      <w:ind w:left="113" w:right="0" w:hanging="0"/>
      <w:jc w:val="left"/>
    </w:pPr>
    <w:rPr>
      <w:rFonts w:ascii="Times New Roman" w:hAnsi="Times New Roman" w:eastAsia="Times New Roman" w:cs="Times New Roman"/>
      <w:color w:val="000000"/>
      <w:kern w:val="0"/>
      <w:sz w:val="22"/>
      <w:szCs w:val="18"/>
      <w:lang w:val="pl-PL" w:eastAsia="pl-PL" w:bidi="ar-SA"/>
    </w:rPr>
  </w:style>
  <w:style w:type="paragraph" w:styleId="Normalny1">
    <w:name w:val="Normalny1"/>
    <w:qFormat/>
    <w:pPr>
      <w:widowControl w:val="false"/>
      <w:suppressAutoHyphens w:val="true"/>
      <w:bidi w:val="0"/>
      <w:spacing w:before="0" w:after="0"/>
      <w:ind w:left="284" w:right="0" w:hanging="0"/>
      <w:jc w:val="both"/>
    </w:pPr>
    <w:rPr>
      <w:rFonts w:ascii="Times New Roman" w:hAnsi="Times New Roman" w:eastAsia="Times New Roman" w:cs="Times New Roman"/>
      <w:color w:val="auto"/>
      <w:kern w:val="0"/>
      <w:sz w:val="24"/>
      <w:szCs w:val="20"/>
      <w:lang w:val="pl-PL" w:eastAsia="pl-PL" w:bidi="ar-SA"/>
    </w:rPr>
  </w:style>
  <w:style w:type="paragraph" w:styleId="Lista1">
    <w:name w:val="lista"/>
    <w:basedOn w:val="Normal"/>
    <w:next w:val="Normal"/>
    <w:qFormat/>
    <w:pPr>
      <w:numPr>
        <w:ilvl w:val="0"/>
        <w:numId w:val="19"/>
      </w:numPr>
    </w:pPr>
    <w:rPr>
      <w:sz w:val="22"/>
    </w:rPr>
  </w:style>
  <w:style w:type="paragraph" w:styleId="Nagwek41">
    <w:name w:val="Nagłówek 41"/>
    <w:basedOn w:val="Normalny1"/>
    <w:next w:val="Normalny1"/>
    <w:qFormat/>
    <w:pPr>
      <w:keepNext w:val="true"/>
      <w:keepLines/>
      <w:spacing w:before="120" w:after="0"/>
      <w:ind w:left="142" w:right="0" w:hanging="0"/>
      <w:outlineLvl w:val="3"/>
    </w:pPr>
    <w:rPr>
      <w:b/>
      <w:sz w:val="22"/>
    </w:rPr>
  </w:style>
  <w:style w:type="paragraph" w:styleId="Punkty">
    <w:name w:val="punkty"/>
    <w:basedOn w:val="Lista1"/>
    <w:qFormat/>
    <w:pPr>
      <w:numPr>
        <w:ilvl w:val="0"/>
        <w:numId w:val="20"/>
      </w:numPr>
    </w:pPr>
    <w:rPr>
      <w:sz w:val="22"/>
    </w:rPr>
  </w:style>
  <w:style w:type="numbering" w:styleId="NoList" w:default="1">
    <w:name w:val="No List"/>
    <w:uiPriority w:val="99"/>
    <w:semiHidden/>
    <w:unhideWhenUsed/>
    <w:qFormat/>
  </w:style>
  <w:style w:type="numbering" w:styleId="WWOutlineListStyle" w:customStyle="1">
    <w:name w:val="WWOutlineListStyle"/>
    <w:qFormat/>
  </w:style>
  <w:style w:type="numbering" w:styleId="WWOutlineListStyle1" w:customStyle="1">
    <w:name w:val="WW_OutlineListStyle"/>
    <w:qFormat/>
    <w:rsid w:val="00695e03"/>
  </w:style>
  <w:style w:type="numbering" w:styleId="35202094921">
    <w:name w:val="35202094921"/>
    <w:qFormat/>
  </w:style>
  <w:style w:type="numbering" w:styleId="27945956561">
    <w:name w:val="27945956561"/>
    <w:qFormat/>
  </w:style>
  <w:style w:type="numbering" w:styleId="WW8Num32">
    <w:name w:val="WW8Num32"/>
    <w:qFormat/>
  </w:style>
  <w:style w:type="numbering" w:styleId="38303550021">
    <w:name w:val="38303550021"/>
    <w:qFormat/>
  </w:style>
  <w:style w:type="numbering" w:styleId="1636146381">
    <w:name w:val="1636146381"/>
    <w:qFormat/>
  </w:style>
  <w:style w:type="numbering" w:styleId="42566704171">
    <w:name w:val="42566704171"/>
    <w:qFormat/>
  </w:style>
  <w:style w:type="numbering" w:styleId="32706528701">
    <w:name w:val="32706528701"/>
    <w:qFormat/>
  </w:style>
  <w:style w:type="numbering" w:styleId="5041763241">
    <w:name w:val="5041763241"/>
    <w:qFormat/>
  </w:style>
  <w:style w:type="numbering" w:styleId="15830195631">
    <w:name w:val="15830195631"/>
    <w:qFormat/>
  </w:style>
  <w:style w:type="numbering" w:styleId="2361597961">
    <w:name w:val="2361597961"/>
    <w:qFormat/>
  </w:style>
  <w:style w:type="numbering" w:styleId="12535064751">
    <w:name w:val="12535064751"/>
    <w:qFormat/>
  </w:style>
  <w:style w:type="numbering" w:styleId="30630217741">
    <w:name w:val="30630217741"/>
    <w:qFormat/>
  </w:style>
  <w:style w:type="numbering" w:styleId="28382464241">
    <w:name w:val="28382464241"/>
    <w:qFormat/>
  </w:style>
  <w:style w:type="numbering" w:styleId="8923614631">
    <w:name w:val="8923614631"/>
    <w:qFormat/>
  </w:style>
  <w:style w:type="numbering" w:styleId="33422980331">
    <w:name w:val="33422980331"/>
    <w:qFormat/>
  </w:style>
  <w:style w:type="numbering" w:styleId="15840987181">
    <w:name w:val="15840987181"/>
    <w:qFormat/>
  </w:style>
  <w:style w:type="numbering" w:styleId="40931035391">
    <w:name w:val="40931035391"/>
    <w:qFormat/>
  </w:style>
  <w:style w:type="numbering" w:styleId="24349952061">
    <w:name w:val="24349952061"/>
    <w:qFormat/>
  </w:style>
  <w:style w:type="numbering" w:styleId="9324165321">
    <w:name w:val="9324165321"/>
    <w:qFormat/>
  </w:style>
  <w:style w:type="numbering" w:styleId="11625659211">
    <w:name w:val="11625659211"/>
    <w:qFormat/>
  </w:style>
  <w:style w:type="numbering" w:styleId="10441737031">
    <w:name w:val="10441737031"/>
    <w:qFormat/>
  </w:style>
  <w:style w:type="numbering" w:styleId="11529531301">
    <w:name w:val="11529531301"/>
    <w:qFormat/>
  </w:style>
  <w:style w:type="numbering" w:styleId="9419597271">
    <w:name w:val="9419597271"/>
    <w:qFormat/>
  </w:style>
  <w:style w:type="numbering" w:styleId="23348346191">
    <w:name w:val="23348346191"/>
    <w:qFormat/>
  </w:style>
  <w:style w:type="numbering" w:styleId="WW8Num2">
    <w:name w:val="WW8Num2"/>
    <w:qFormat/>
  </w:style>
  <w:style w:type="numbering" w:styleId="WW8Num5">
    <w:name w:val="WW8Num5"/>
    <w:qFormat/>
  </w:style>
  <w:style w:type="numbering" w:styleId="40688646491">
    <w:name w:val="40688646491"/>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ad3e62"/>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144E7-20EA-475A-A8BA-F01A91BA2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2106</TotalTime>
  <Application>LibreOffice/7.2.0.4$Windows_X86_64 LibreOffice_project/9a9c6381e3f7a62afc1329bd359cc48accb6435b</Application>
  <AppVersion>15.0000</AppVersion>
  <Pages>33</Pages>
  <Words>8176</Words>
  <Characters>55491</Characters>
  <CharactersWithSpaces>63116</CharactersWithSpaces>
  <Paragraphs>512</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2023-08-29T10:02:00Z</dcterms:created>
  <dc:creator>Wydruknia 007</dc:creator>
  <dc:description/>
  <dc:language>pl-PL</dc:language>
  <cp:lastModifiedBy/>
  <cp:lastPrinted>2024-07-04T11:42:00Z</cp:lastPrinted>
  <dcterms:modified xsi:type="dcterms:W3CDTF">2024-12-09T13:02:06Z</dcterms:modified>
  <cp:revision>46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