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27F" w:rsidRPr="00BA6695" w:rsidRDefault="0018127F" w:rsidP="00235985">
      <w:pPr>
        <w:widowControl/>
        <w:suppressAutoHyphens w:val="0"/>
        <w:autoSpaceDE w:val="0"/>
        <w:autoSpaceDN w:val="0"/>
        <w:adjustRightInd w:val="0"/>
        <w:rPr>
          <w:rFonts w:ascii="Arial" w:eastAsia="Calibri" w:hAnsi="Arial" w:cs="Arial"/>
          <w:kern w:val="0"/>
          <w:sz w:val="20"/>
          <w:szCs w:val="20"/>
          <w:u w:val="single"/>
          <w:lang w:eastAsia="en-US"/>
        </w:rPr>
      </w:pPr>
      <w:bookmarkStart w:id="0" w:name="_GoBack"/>
      <w:bookmarkEnd w:id="0"/>
      <w:r w:rsidRPr="00BA6695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                          </w:t>
      </w:r>
    </w:p>
    <w:p w:rsidR="0018127F" w:rsidRPr="00CA06C8" w:rsidRDefault="0018127F" w:rsidP="00235985">
      <w:pPr>
        <w:widowControl/>
        <w:suppressAutoHyphens w:val="0"/>
        <w:autoSpaceDE w:val="0"/>
        <w:autoSpaceDN w:val="0"/>
        <w:adjustRightInd w:val="0"/>
        <w:jc w:val="right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CA06C8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Załącznik do decyzji Nr 145/MON</w:t>
      </w:r>
    </w:p>
    <w:p w:rsidR="0018127F" w:rsidRPr="00CA06C8" w:rsidRDefault="0018127F" w:rsidP="0018127F">
      <w:pPr>
        <w:widowControl/>
        <w:suppressAutoHyphens w:val="0"/>
        <w:autoSpaceDE w:val="0"/>
        <w:autoSpaceDN w:val="0"/>
        <w:adjustRightInd w:val="0"/>
        <w:jc w:val="right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CA06C8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                                                                              Ministra Obrony Narodowej</w:t>
      </w: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right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CA06C8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                                                                                       z dnia 13 lipca 2017 r. (poz. 157)</w:t>
      </w: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center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ZASADY POSTĘPOWANIA W KONTAKTACH Z WYKONAWCAMI</w:t>
      </w: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center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center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1</w:t>
      </w: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center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Postanowienia ogólne</w:t>
      </w:r>
    </w:p>
    <w:p w:rsidR="0018127F" w:rsidRPr="0018127F" w:rsidRDefault="0018127F" w:rsidP="0018127F">
      <w:pPr>
        <w:widowControl/>
        <w:suppressAutoHyphens w:val="0"/>
        <w:autoSpaceDE w:val="0"/>
        <w:autoSpaceDN w:val="0"/>
        <w:adjustRightInd w:val="0"/>
        <w:jc w:val="center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§ 1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wykonujących na rzecz Skarbu Państwa lub państwowej osoby prawnej odpłatne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umowy,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szczególności na dostawy, świadczenie usług lub roboty budowlane;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które z racji zakresu prowadzonej działalności mogą starać się o zawarcie umów,o których mowa w pkt 1;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które działają w imieniu lub na rzecz podmiotów wskazanych w pkt 1 lub 2, zwanych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dalej "wykonawcami".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2.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kontaktach z wykonawcami należy zachować świadomość, że mogą oni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stosować działania mające na celu zapewnienie im przychylności, skutkujące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naruszeniem zasady bezstronności, równego traktowania lub uczciwej konkurencji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(reguła wzajemności).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3.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kontaktach z wykonawcami należy kierować się zasadami: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godności i honoru;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zdrowego rozsądku i umiaru;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ochrony dobrego imienia Ministerstwa Obrony Narodowej i Sił Zbrojnych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Rzeczypospolitej Polskiej;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4) pierwszeństwa interesów Ministerstwa Obrony Narodowej i Sił Zbrojnych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Rzeczypospolitej Polskiej;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5) unikania sytuacji, które mogłyby wywoływać powstanie długu materialnego lub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honorowego albo poczucia wdzięczności;</w:t>
      </w:r>
    </w:p>
    <w:p w:rsid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6) bezstronności oraz unikania zachowań faworyzujących konkretnego wykonawcę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stosunku do jego konkurencji.</w:t>
      </w:r>
    </w:p>
    <w:p w:rsidR="00317271" w:rsidRPr="0018127F" w:rsidRDefault="00317271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2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Rozliczanie kosztów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4.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Przy rozliczaniu kosztów poniesionych w związku z bezpośrednimi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kontaktami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wykonawcami należy przyjąć zasadę "każdy płaci za siebie",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szczególności: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koszty podróży służbowych, w tym koszty dojazdów, wyżywienia i noclegów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pokrywa się wyłącznie z budżetu, którego dysponentem jest Minister Obrony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Narodowej;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w restauracjach i innych miejscach wspólnego przebywania rachunki należy opłacać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własnych środków w ramach późniejszego rozliczenia służbowego, lub ze środków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pochodzących z budżetu, którego dysponentem jest Minister Obrony Narodowej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(karty płatnicze).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Niedopuszczalne jest korzystanie z fundowanego przez wykonawców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wyżywienia, transportu, ani z pokrywania przez nich innych kosztów i zobowiązań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wyjątkiem: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drobnych poczęstunków serwowanych w trakcie podróży służbowych;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transportu związanego z wykonywaniem zadań w ramach podróży służbowych.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3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lastRenderedPageBreak/>
        <w:t>Przedsięwzięcia i spotkania z udziałem wykonawców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5.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Dopuszczalne są przedsięwzięcia związane z zawarciem lub realizacją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umowy, organizowane wspólnie przez komórki lub jednostki organizacyjne oraz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wykonawców.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Dopuszczalne jest udzielanie pomocy krajowym przedsiębiorstwom sektora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obronnego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przedsięwzięciach promocyjnych skierowanych na rynki zagraniczne, 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tym w ramach międzynarodowych targów, pokazów, wystaw i konferencji o tematyce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obronnej,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szczególności w postaci wystawiania referencji dla sprzętu będącego na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wyposażeniu Sił Zbrojnych Rzeczypospolitej Polskiej oraz udostępniania informacji 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materiałów będących w posiadaniu resortu obrony narodowej, a stanowiących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informację publiczną lub informację przetworzoną w rozumieniu przepisów o dostępie do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informacji publicznej.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Dopuszczalny jest udział w posiedzeniach i konferencjach organizowanych lub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współorganizowanych przez organizacje międzynarodowe, których członkiem jest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Rzeczpospolita Polska, a w szczególności przez Organizację Traktatu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Północnoatlantyckiego lub Unię Europejską, odbywających się z udziałem </w:t>
      </w:r>
      <w:r w:rsidR="00317271"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wykonawców, a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także w przedsięwzięciach realizowanych przez komórki lub jednostki organizacyjne,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które wynikają z zaakceptowanego rocznego planu współpracy międzynarodowej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resortu obrony narodowej.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Zaangażowanie w inne niż wymienione w ust. 1-3 przedsięwzięcia z udziałem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wykonawców, w tym w szczególności konferencje, seminaria, sympozja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>–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dopuszczalne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jest wyłącznie po uzyskaniu od organizatora informacji zgodnej z wzorem zapytania,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zawartym w załączniku Nr 1 do Zasad postępowania w kontaktach z wykonawcami oraz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udzieleniu pisemnej zgody dyrektora (szefa, komendanta, kierownika, dowódcy,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prezesa) komórki lub jednostki organizacyjnej na uczestnictwo w takim przedsięwzięciu.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przypadku chęci uczestnictwa dyrektora (szefa, komendanta, kierownika, dowódcy,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prezesa) w przedsięwzięciu z udziałem wykonawców, pisemną zgodę wydaje jego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bezpośredni przełożony.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Obowiązki, o których mowa w ust. 4, nie dotyczą przypadku, gdy organizatorem,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lub współorganizatorem przedsięwzięcia jest Ministerstwo Obrony Narodowej lub inne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instytucje krajowej administracji rządowej.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§ 6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. 1. Wszelkie spotkania z wykonawcami, jeżeli nie mają charakteru: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przedsięwzięć wymienionych w § 5 ust. 1-3,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konferencji, seminariów lub sympozjów wymienionych w § 5 ust. 4 i 5,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spotkań towarzyskich, odbywających się poza godzinami pracy, podczas których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nie poruszano żadnych kwestii służbowych,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4) spotkań o charakterze jedynie organizacyjno-porządkowym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– powinny odbywać się przy udziale co najmniej dwóch osób będących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przedstawicielami komórek lub jednostek organizacyjnych (zasada „wielu par oczu”), 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przeciwnym wypadku całość spotkania powinna zostać utrwalona za pomocą urządzeń 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środków technicznych służących do utrwalania dźwięku albo obrazu i dźwięku.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Utrwalenie przebiegu spotkania z wykonawcami za pomocą urządzeń i środków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technicznych służących do utrwalania dźwięku albo obrazu i dźwięku, zwane dalej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„zapisem”, następuje po uprzednim uzyskaniu zgody wykonawcy na taki sposób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utrwalenia przebiegu spotkania.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Niedopuszczalne jest kontynuowanie spotkania z wykonawcą, który nie wyraził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zgody na utrwalenie jego przebiegu, przy jednoczesnym braku możliwości zapewnienia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udziału dwóch osób w spotkaniu, o którym mowa w ust. 1.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Zapis następuje za pomocą urządzeń i środków technicznych wykorzystujących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technikę cyfrową, zapewniającą: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integralność zapisu;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kopiowanie zapisu pomiędzy urządzeniami, środkami technicznymi i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informatycznymi nośnikami danych;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zabezpieczenie zapisu, w szczególności przed utratą lub nieuzasadnioną zmianą;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4) odtworzenie zapisu także przy użyciu urządzeń i środków technicznych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korygujących lub wzmacniających utrwalony dźwięk lub obraz;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5) udostępnienie zapisu na informatycznym nośniku danych;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6) możliwość bieżącej kontroli dokonywanego zapisu.</w:t>
      </w:r>
    </w:p>
    <w:p w:rsid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Informatyczne nośniki danych na których dokonano zapisu podlegają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zdeponowaniu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kancelarii komórki lub jednostki organizacyjnej, której pracownik lub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żołnierz brał udział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spotkaniu z wykonawcą, gdzie następnie są archiwizowane przez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okres 3 lat.</w:t>
      </w:r>
    </w:p>
    <w:p w:rsidR="00317271" w:rsidRDefault="00317271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317271" w:rsidRPr="0018127F" w:rsidRDefault="00317271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4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lastRenderedPageBreak/>
        <w:t>Sponsorowanie przedsięwzięć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7.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zastrzeżeniem § 5 ust. 1-3, niedopuszczalne jest, aby przedsięwzięcia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organizowane lub współorganizowane przez komórki lub jednostki organizacyjne były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finansowane, współfinansowane lub w inny sposób materialnie wspierane przez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wykonawców, chyba że jest to związane bezpośrednio z koniecznością pokrycia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kosztów wynikających z uczestnictwa wykonawcy w danym przedsięwzięciu.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5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Prezenty, materiały promocyjne i informacyjne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8.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Niedopuszczalne jest przyjmowanie od wykonawców prezentów w postaci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jakichkolwiek korzyści majątkowych lub osobistych.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Dopuszczalne jest przyjmowanie materiałów promocyjnych o znikomej wartości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handlowej.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Dopuszczalne i zalecane jest przyjmowanie materiałów informacyjnych.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Dopuszcza się eksponowanie w salach konferencyjnych oraz w innych miejscach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powszechnie dostępnych na terenie komórek i jednostek organizacyjnych otrzymanych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od wykonawców materiałów promujących Siły Zbrojne Rzeczypospolitej Polskiej.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Niewskazane jest używanie na terenie komórek i jednostek organizacyjnych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materiałów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 oznaczeń promujących wykonawców, w tym także materiałów biurowych.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6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Kontakty towarzyskie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9.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Kontakty towarzyskie z wykonawcami, nawiązane zanim powstały relacje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wynikające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wykonywanych obowiązków mogą być kontynuowane, przy zachowaniu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zasad określonych 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§3 niniejszego załącznika.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W przypadkach innych niż określone w ust. 1, nie zaleca się nawiązywania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kontaktów towarzyskich z wykonawcami.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7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Najem i użyczanie lokali oraz terenów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7A60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10.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Dopuszczalne jest wynajmowanie lub użyczanie wykonawcom lokali i terenów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resortu obrony narodowej w celu:</w:t>
      </w:r>
    </w:p>
    <w:p w:rsidR="0018127F" w:rsidRPr="0018127F" w:rsidRDefault="0018127F" w:rsidP="007A60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przeprowadzenia prezentacji lub pokazów na rzecz komórek lub jednostek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organizacyjnych;</w:t>
      </w:r>
    </w:p>
    <w:p w:rsidR="0018127F" w:rsidRPr="0018127F" w:rsidRDefault="0018127F" w:rsidP="007A60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przeprowadzenia prezentacji lub pokazów organizowanych przez krajowe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przedsiębiorstwa sektora obronnego dla odbiorców zagranicznych;</w:t>
      </w:r>
    </w:p>
    <w:p w:rsidR="0018127F" w:rsidRDefault="0018127F" w:rsidP="007A60C0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realizowania zadań przez Agencję Mienia Wojskowego, wynikających z odrębnych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przepisów.</w:t>
      </w:r>
    </w:p>
    <w:p w:rsidR="00317271" w:rsidRPr="0018127F" w:rsidRDefault="00317271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8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Prezentacje, pokazy i referencje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11.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Działania informacyjne, z wyłączeniem oficjalnej korespondencji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dokonywanej w formie pisemnej lub realizowanej przy pomocy faksu albo służbowej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poczty elektronicznej, powinny być przeprowadzane przez wykonawców w formie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oficjalnych prezentacji lub pokazów.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Wskazane jest, aby prezentacje lub pokazy odbywały się na terenie komórek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 jednostek organizacyjnych lub podczas targów.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W przypadku, gdyby koszty prezentacji lub pokazu były zbyt wysokie dla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wykonawcy, bądź też gdyby prezentacja lub pokaz były ze względów technicznych lub</w:t>
      </w:r>
      <w:r w:rsidR="00317271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organizacyjnych znacznym utrudnieniem, dopuszczalne jest ich przeprowadzenie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 wykonawcy na rzecz oficjalnej delegacji komórek lub jednostek organizacyjnych.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Niedopuszczalne jest obciążanie Skarbu Państwa – Ministra Obrony Narodowej,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lub państwowej osoby prawnej kosztami organizowanych prezentacji lub pokazów,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wyłączeniem opłat z tytułu zużytych mediów i wstawek konferencyjnych.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W celu zbierania niezbędnych doświadczeń i informacji dyrektorzy (szefowie,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komendanci, kierownicy, dowódcy, prezesi) komórek i jednostek organizacyjnych mogą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za pisemną zgodą bezpośredniego przełożonego organizować prezentacje i pokazy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udziałem wykonawców.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6. Dyrektor (szef, komendant, kierownik, dowódca, prezes) komórki lub jednostki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organizacyjnej odpowiedzialnej za organizację przedsięwzięcia, o którym mowa w ust.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5, dotyczącego sprzętu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wojskowego, w terminie 14 dni od dnia jego zakończenia,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przekazuje Dyrektorowi Departamentu Polityki Zbrojeniowej notatkę o tym wydarzeniu,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zgodnie ze wzorem stanowiącym załącznik Nr 2 do Zasad postępowania w kontaktach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wykonawcami.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7. Wskazane jest zamieszczanie przez komórki i jednostki organizacyjne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odpowiednim wyprzedzeniem na własnych stronach internetowych informacji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zamiarze organizacji lub możliwości przeprowadzenia prezentacji lub pokazu,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dotyczącego konkretnych grup asortymentowych sprzętu lub usług, w celu umożliwienia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jak największej grupie wykonawców zgłoszenia swojego udziału w tego typu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wydarzeniach.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12.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Dopuszczalne jest udzielenie wykonawcy pozytywnych referencji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(poświadczenia)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związku z należytym wykonaniem przez niego umowy.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Referencji, o których mowa w ust. 1, udziela w formie pisemnej zamawiający po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uprzednim ustaleniu należytego wykonania umowy.</w:t>
      </w:r>
    </w:p>
    <w:p w:rsid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Niedopuszczalne jest udzielanie referencji, o których mowa w ust. 1,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wykonawcom,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stosunku do których zamawiający uprawniony jest do zgłoszenia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roszczeń z tytułu niewykonania lub nienależytego wykonania umowy, której mają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dotyczyć referencje.</w:t>
      </w:r>
    </w:p>
    <w:p w:rsidR="007A60C0" w:rsidRPr="0018127F" w:rsidRDefault="007A60C0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9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Faworyzowanie i konflikt interesów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13.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Niedopuszczalne jest faworyzowanie wykonawcy, polegające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szczególności na: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wcześniejszym udzielaniu mu informacji,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nieuzasadnionym ograniczeniu innym wykonawcom dostępu do informacji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– które może stawiać go w uprzywilejowanej pozycji w stosunku do innych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wykonawców.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Wskazane jest, aby pracownicy i żołnierze komórek i jednostek organizacyjnych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oraz osoby fizyczne świadczące pracę na podstawie umów cywilnoprawnych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Ministerstwie Obrony Narodowej lub w jednostkach organizacyjnych, informowali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odpowiednio bezpośrednich przełożonych lub zamawiających o relacjach prawnych lub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faktycznych, w których ich interes prywatny (osobisty lub majątkowy), wynikający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 powiązań z konkretnym wykonawcą, wpływa, bądź może wpływać na obiektywne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 bezstronne wykonywanie powierzonych obowiązków (realny bądź potencjalny konflikt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interesów) lub też może być on postrzegany przez opinię publiczną jako znajdujący się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konflikcie z obiektywnym i bezstronnym wykonywaniem realizowanych przez nich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obowiązków (postrzegalny konflikt interesów).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Przez konflikt interesów należy rozumieć, w szczególności posiadanie powiązań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charakterze finansowym, rodzinnym lub towarzyskim z wykonawcą.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Dyrektor (szef, komendant, kierownik, dowódca, prezes) komórki lub jednostki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organizacyjnej dysponujący wiarygodną informacją o realnym, potencjalnym lub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postrzegalnym konflikcie interesów podległego mu pracownika lub żołnierza komórki lub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jednostki organizacyjnej, bądź osoby fizycznej świadczącej pracę na podstawie umów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cywilnoprawnych w Ministerstwie Obrony Narodowej lub w jednostkach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organizacyjnych, rozstrzyga niezwłocznie o potrzebie podjęcia czynności zaradczych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celu wyeliminowania lub ograniczenia możliwości zaistnienia konfliktu interesów.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Czynnością zaradczą, o której mowa w ust. 4, może być w szczególności: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wydanie dyspozycji o konieczności udziału minimum dwóch osób w realizacji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określonych czynności (zasada „wielu par oczu”),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włączenie dodatkowych mechanizmów nadzorczych, w tym kontrolnych, lub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sprawozdawczych w realizacji określonych czynności,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wyłączenie osoby pozostającej w konflikcie interesów z udziału w określonej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czynności, lub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4) doprowadzenie do rozwiązania umowy cywilnoprawnej zawartej z osobą fizyczną,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której mowa w ust. 2.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6. W przypadku postrzegalnego lub potencjalnego konfliktu interesów dyrektor (szef,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komendant, kierownik, dowódca, prezes) komórki lub jednostki organizacyjnej może nie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podejmować żadnej czynności zaradczej, jeżeli w pisemnej notatce, zarejestrowanej 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kancelarii potwierdzi, że konflikt ten jest w jego ocenie nieistotny z punktu widzenia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prawidłowego działania danej komórki lub jednostki organizacyjnej, a samo ujawnienie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go przez osobę, pozostającą w konflikcie interesów jest wystarczające do jego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skutecznej kontroli.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7. W przypadku, gdy konflikt interesów dotyczy dyrektora (szefa, komendanta,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kierownika, dowódcy, prezesa) komórki lub jednostki organizacyjnej, o potrzebie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podjęcia czynności zaradczych w celu wyeliminowania lub ograniczenia możliwości jego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zaistnienia, decyduje bezpośredni przełożony tej osoby. Przepisy ust. 2-6 stosuje się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odpowiednio.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10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Sprawozdawczość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7A60C0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14.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Z wszelkich kontaktów z wykonawcami, osoby biorące w nich udział,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sporządzają notatkę zawierającą informacje odnośnie: stron, celu, inicjatora, formy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kontaktu lub miejsca spotkania oraz faktu udokumentowania jego przebiegu za pomocą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urządzeń i środków technicznych służących do utrwalania dźwięku albo obrazu 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dźwięku, a w przypadku gdy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przebieg spotkania nie został w ten sposób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udokumentowany – również szczegółowych danych uzyskanych od wykonawcy 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przekazanych wykonawcy. Istnieje możliwość sporządzenia wspólnej notatki przez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osoby uczestniczące w kontaktach z wykonawcami.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Notatkę, o której mowa w ust. 1, sporządza się również w przypadku kontaktów z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podmiotami zainteresowanymi nabyciem nieruchomości Skarbu Państwa lub mienia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ruchomego o wartości księgowej przekraczającej 10.000 złotych.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Treść notatki zamieszcza się w terminie 14 dni od dnia przeprowadzenia kontaktu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wewnętrznej sieci elektronicznej w zakładce pod nazwą „kontakty z wykonawcami”.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4. Obowiązek, o którym mowa w ust. 1 i 3, nie dotyczy: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1) czynności zamawiającego, w związku z postępowaniem o udzielenie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zamówienia od chwili zamieszczenia ogłoszenia o postępowaniu lub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skierowania zaproszenia do udziału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postępowaniu w trybie negocjacji, do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chwili wyboru wykonawcy, o ile czynności te podejmowane są w ramach prac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komisji;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2) czynności zamawiającego podejmowanych od chwili wyboru wykonawcy do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chwili podpisania umowy oraz czynności związanych z wykonywaniem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zawartych umów, o ile czynności te podejmowane są przez uprzednio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pisemnie wyznaczone osoby;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3) kontaktów mających charakter oficjalnej korespondencji dokonywanej 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formie pisemnej lub realizowanej przy pomocy faksu albo służbowej poczty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elektronicznej;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4) kontaktów mających miejsce w związku z realizacją fazy analityczno koncepcyjnej,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której mowa w przepisach decyzji w spawie pozyskiwania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sprzętu wojskowego i usług dla Sił Zbrojnych Rzeczypospolitej Polskiej, o ile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kontakty te zostaną opisane w dokumentacji, która powstanie w ramach tej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fazy, pisemnej notatce lub protokole spotkania, bądź też ich przebieg zostanie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utrwalony za pomocą urządzeń i środków technicznych służących do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utrwalania dźwięku albo obrazu i dźwięku;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5) kontaktów dotyczących jedynie zagadnień o charakterze organizacyjnoporządkowym;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6) kontaktów o charakterze wyłącznie towarzyskim, odbywających się poza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godzinami pracy,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trakcie których nie poruszano żadnych kwestii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służbowych;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7) prezentacji i pokazów organizowanych na podstawie § 11 ust. 5;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8) kontaktów realizowanych w celu wykonywania obowiązków przewidzianych 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ustawie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niektórych umowach zawieranych w związku z realizacją zamówień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 podstawowym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znaczeniu dla bezpieczeństwa państwa, o ile kontakty te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zostaną opisane w pisemnej notatce lub protokole spotkania, bądź też ich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przebieg zostanie utrwalony za pomocą urządzeń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i środków technicznych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służących do utrwalania dźwięku albo obrazu i dźwięku;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9) kontaktów realizowanych w celu wykonania obowiązków przewidzianych 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przepisach decyzji w spawie zasad funkcjonowania systemu zapewnienia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jakości wyrobów obronnych, o ile kontakty te zostaną opisane w pisemnej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notatce lub protokole spotkania, bądź też ich przebieg zostanie utrwalony za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pomocą urządzeń i środków technicznych służących do utrwalania dźwięku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12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albo obrazu i dźwięku.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5.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wewnętrznej sieci elektronicznej nie powinny być zamieszczane notatki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sporządzane ze spotkań z wykonawcami, w przypadku gdyby podlegały one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szczególnej ochronie przewidzianej w ustawie o ochronie informacji niejawnych.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Rozdział 11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>Wykładnia postanowień decyzji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,Bold" w:eastAsia="Calibri" w:hAnsi="Arial,Bold" w:cs="Arial,Bold"/>
          <w:b/>
          <w:bCs/>
          <w:kern w:val="0"/>
          <w:sz w:val="20"/>
          <w:szCs w:val="20"/>
          <w:lang w:eastAsia="en-US"/>
        </w:rPr>
        <w:t xml:space="preserve">§ 15.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1. Podmioty zainteresowane mogą zwrócić się z pisemnym wnioskiem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do Dyrektora Biura do Spraw Procedur Antykorupcyjnych o wydanie pisemnej opinii w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sprawie interpretacji postanowień zawartych w decyzji, zwanej dalej "opinią".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2. Podmiot wnioskujący może zastrzec we wniosku, o którym mowa w ust. 1,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anonimizację danych osobowych.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3. Opinia ma charakter wiążący dla wszystkich komórek i jednostek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organizacyjnych.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lastRenderedPageBreak/>
        <w:t>4. Dyrektor Biura do Spraw Procedur Antykorupcyjnych zamieszcza opinię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wewnętrznej sieci elektronicznej (intranet), w zakładce "kontakty z wykonawcami".</w:t>
      </w:r>
    </w:p>
    <w:p w:rsidR="0018127F" w:rsidRPr="0018127F" w:rsidRDefault="0018127F" w:rsidP="00317271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5. Dyrektor Biura do Spraw Procedur Antykorupcyjnych może odmówić wydania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opinii 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br/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w sprawach, które były już przedmiotem rozstrzygnięcia lub, w których stan</w:t>
      </w:r>
      <w:r w:rsidR="007A60C0">
        <w:rPr>
          <w:rFonts w:ascii="Arial" w:eastAsia="Calibri" w:hAnsi="Arial" w:cs="Arial"/>
          <w:kern w:val="0"/>
          <w:sz w:val="20"/>
          <w:szCs w:val="20"/>
          <w:lang w:eastAsia="en-US"/>
        </w:rPr>
        <w:t xml:space="preserve"> </w:t>
      </w:r>
      <w:r w:rsidRPr="0018127F">
        <w:rPr>
          <w:rFonts w:ascii="Arial" w:eastAsia="Calibri" w:hAnsi="Arial" w:cs="Arial"/>
          <w:kern w:val="0"/>
          <w:sz w:val="20"/>
          <w:szCs w:val="20"/>
          <w:lang w:eastAsia="en-US"/>
        </w:rPr>
        <w:t>faktyczny ma charakter analogiczny do uprzednio opiniowanej sprawy.</w:t>
      </w:r>
    </w:p>
    <w:p w:rsidR="0018127F" w:rsidRPr="0018127F" w:rsidRDefault="0018127F" w:rsidP="00317271">
      <w:pPr>
        <w:widowControl/>
        <w:suppressAutoHyphens w:val="0"/>
        <w:spacing w:after="200"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</w:p>
    <w:p w:rsidR="0018127F" w:rsidRPr="0018127F" w:rsidRDefault="0018127F" w:rsidP="00317271">
      <w:pPr>
        <w:widowControl/>
        <w:suppressAutoHyphens w:val="0"/>
        <w:spacing w:after="200"/>
        <w:jc w:val="both"/>
        <w:rPr>
          <w:rFonts w:ascii="Calibri" w:eastAsia="Calibri" w:hAnsi="Calibri"/>
          <w:kern w:val="0"/>
          <w:sz w:val="20"/>
          <w:szCs w:val="20"/>
          <w:lang w:eastAsia="en-US"/>
        </w:rPr>
      </w:pPr>
    </w:p>
    <w:p w:rsidR="0018127F" w:rsidRDefault="00F21B07" w:rsidP="007A60C0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</w:p>
    <w:p w:rsidR="0018127F" w:rsidRDefault="0018127F" w:rsidP="00317271">
      <w:pPr>
        <w:spacing w:line="480" w:lineRule="auto"/>
        <w:jc w:val="both"/>
        <w:rPr>
          <w:rFonts w:ascii="Arial" w:hAnsi="Arial" w:cs="Arial"/>
          <w:sz w:val="20"/>
          <w:szCs w:val="20"/>
        </w:rPr>
      </w:pPr>
    </w:p>
    <w:sectPr w:rsidR="0018127F" w:rsidSect="00D13B7F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5AB" w:rsidRDefault="004E05AB" w:rsidP="005F0EFC">
      <w:r>
        <w:separator/>
      </w:r>
    </w:p>
  </w:endnote>
  <w:endnote w:type="continuationSeparator" w:id="0">
    <w:p w:rsidR="004E05AB" w:rsidRDefault="004E05AB" w:rsidP="005F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F1" w:rsidRPr="00061BA1" w:rsidRDefault="00472BF1" w:rsidP="00061BA1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5AB" w:rsidRDefault="004E05AB" w:rsidP="005F0EFC">
      <w:r>
        <w:separator/>
      </w:r>
    </w:p>
  </w:footnote>
  <w:footnote w:type="continuationSeparator" w:id="0">
    <w:p w:rsidR="004E05AB" w:rsidRDefault="004E05AB" w:rsidP="005F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96" w:rsidRDefault="00E16E96" w:rsidP="00235985">
    <w:pPr>
      <w:pStyle w:val="Nagwek"/>
      <w:jc w:val="right"/>
      <w:rPr>
        <w:rFonts w:ascii="Arial" w:hAnsi="Arial" w:cs="Arial"/>
        <w:sz w:val="20"/>
        <w:lang w:val="pl-PL"/>
      </w:rPr>
    </w:pPr>
    <w:r>
      <w:rPr>
        <w:rFonts w:ascii="Arial" w:hAnsi="Arial" w:cs="Arial"/>
        <w:sz w:val="20"/>
        <w:lang w:val="pl-PL"/>
      </w:rPr>
      <w:t xml:space="preserve">Załącznik nr 4 </w:t>
    </w:r>
  </w:p>
  <w:p w:rsidR="00235985" w:rsidRPr="00235985" w:rsidRDefault="00235985" w:rsidP="00235985">
    <w:pPr>
      <w:pStyle w:val="Nagwek"/>
      <w:jc w:val="right"/>
      <w:rPr>
        <w:rFonts w:ascii="Arial" w:hAnsi="Arial" w:cs="Arial"/>
        <w:sz w:val="20"/>
      </w:rPr>
    </w:pPr>
    <w:r w:rsidRPr="00235985">
      <w:rPr>
        <w:rFonts w:ascii="Arial" w:hAnsi="Arial" w:cs="Arial"/>
        <w:sz w:val="20"/>
        <w:lang w:val="pl-PL"/>
      </w:rPr>
      <w:t>do umowy</w:t>
    </w:r>
  </w:p>
  <w:p w:rsidR="00235985" w:rsidRDefault="00235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Arial"/>
        <w:i/>
        <w:iCs/>
        <w:color w:val="000000"/>
        <w:sz w:val="28"/>
        <w:szCs w:val="28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8B0BDB2"/>
    <w:name w:val="WW8Num3"/>
    <w:lvl w:ilvl="0">
      <w:start w:val="1"/>
      <w:numFmt w:val="decimal"/>
      <w:suff w:val="nothing"/>
      <w:lvlText w:val="%1)"/>
      <w:lvlJc w:val="left"/>
      <w:pPr>
        <w:tabs>
          <w:tab w:val="num" w:pos="-5670"/>
        </w:tabs>
        <w:ind w:left="284" w:firstLine="0"/>
      </w:pPr>
      <w:rPr>
        <w:rFonts w:ascii="Times New Roman" w:eastAsia="Times New Roman" w:hAnsi="Times New Roman" w:cs="Times New Roman"/>
        <w:i/>
        <w:iCs/>
        <w:strike w:val="0"/>
        <w:color w:val="000000"/>
        <w:sz w:val="28"/>
        <w:szCs w:val="28"/>
      </w:rPr>
    </w:lvl>
  </w:abstractNum>
  <w:abstractNum w:abstractNumId="2" w15:restartNumberingAfterBreak="0">
    <w:nsid w:val="00000005"/>
    <w:multiLevelType w:val="multilevel"/>
    <w:tmpl w:val="997EE49E"/>
    <w:name w:val="WW8Num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985" w:firstLine="0"/>
      </w:pPr>
      <w:rPr>
        <w:rFonts w:ascii="Arial" w:eastAsia="Times New Roman" w:hAnsi="Arial" w:cs="Arial" w:hint="default"/>
        <w:i/>
        <w:iCs/>
        <w:sz w:val="28"/>
        <w:szCs w:val="22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39887916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42" w:firstLine="0"/>
      </w:pPr>
      <w:rPr>
        <w:rFonts w:cs="Arial"/>
        <w:i/>
        <w:iCs/>
        <w:color w:val="000000"/>
        <w:sz w:val="28"/>
        <w:szCs w:val="28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7"/>
    <w:multiLevelType w:val="multilevel"/>
    <w:tmpl w:val="A5902FBC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cs="Arial"/>
        <w:i/>
        <w:iCs/>
        <w:color w:val="000000"/>
        <w:sz w:val="28"/>
        <w:szCs w:val="28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4" w:firstLine="0"/>
      </w:pPr>
      <w:rPr>
        <w:rFonts w:eastAsia="Times New Roman" w:cs="Arial"/>
        <w:i/>
        <w:iCs/>
        <w:color w:val="000000"/>
        <w:kern w:val="1"/>
        <w:sz w:val="28"/>
        <w:szCs w:val="2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suff w:val="nothing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7" w15:restartNumberingAfterBreak="0">
    <w:nsid w:val="0000000A"/>
    <w:multiLevelType w:val="multilevel"/>
    <w:tmpl w:val="F842C534"/>
    <w:name w:val="WW8Num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ormalny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8"/>
      <w:numFmt w:val="decimal"/>
      <w:pStyle w:val="Normalny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ormalny"/>
      <w:suff w:val="nothing"/>
      <w:lvlText w:val="%4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4">
      <w:start w:val="1"/>
      <w:numFmt w:val="lowerLetter"/>
      <w:pStyle w:val="Normalny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pStyle w:val="Normalny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ormalny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Normalny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ormalny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B"/>
    <w:multiLevelType w:val="multilevel"/>
    <w:tmpl w:val="FFCE1C32"/>
    <w:name w:val="WW8Num1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i/>
        <w:iCs/>
        <w:color w:val="000000"/>
        <w:sz w:val="28"/>
        <w:szCs w:val="28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i/>
        <w:iCs/>
        <w:color w:val="000000"/>
        <w:sz w:val="28"/>
        <w:szCs w:val="2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C"/>
    <w:multiLevelType w:val="multilevel"/>
    <w:tmpl w:val="53C05426"/>
    <w:name w:val="WW8Num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i/>
        <w:iCs/>
        <w:sz w:val="28"/>
        <w:szCs w:val="22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i/>
        <w:iCs/>
        <w:color w:val="000000"/>
        <w:sz w:val="28"/>
        <w:szCs w:val="28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D"/>
    <w:multiLevelType w:val="multilevel"/>
    <w:tmpl w:val="38CEB2AC"/>
    <w:name w:val="WW8Num1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Times New Roman"/>
      </w:rPr>
    </w:lvl>
  </w:abstractNum>
  <w:abstractNum w:abstractNumId="11" w15:restartNumberingAfterBreak="0">
    <w:nsid w:val="0000000E"/>
    <w:multiLevelType w:val="multilevel"/>
    <w:tmpl w:val="0000000E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F"/>
    <w:multiLevelType w:val="multilevel"/>
    <w:tmpl w:val="0000000F"/>
    <w:name w:val="WW8Num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10"/>
    <w:multiLevelType w:val="multilevel"/>
    <w:tmpl w:val="E348FF3C"/>
    <w:name w:val="WW8Num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/>
        <w:iCs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11"/>
    <w:multiLevelType w:val="multilevel"/>
    <w:tmpl w:val="09766AE2"/>
    <w:name w:val="WW8Num1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eastAsia="Lucida Sans Unicode" w:hAnsi="Arial" w:cs="Arial"/>
        <w:i/>
        <w:iCs/>
        <w:sz w:val="22"/>
        <w:szCs w:val="22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8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2"/>
    <w:multiLevelType w:val="multilevel"/>
    <w:tmpl w:val="4C78F69A"/>
    <w:name w:val="WW8Num17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Lucida Sans Unicode" w:hAnsi="Arial" w:cs="Arial" w:hint="default"/>
        <w:i/>
        <w:i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abstractNum w:abstractNumId="16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Arial"/>
        <w:color w:val="000000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</w:rPr>
    </w:lvl>
  </w:abstractNum>
  <w:abstractNum w:abstractNumId="17" w15:restartNumberingAfterBreak="0">
    <w:nsid w:val="00000014"/>
    <w:multiLevelType w:val="multilevel"/>
    <w:tmpl w:val="95F0B7A0"/>
    <w:name w:val="WW8Num19"/>
    <w:lvl w:ilvl="0">
      <w:start w:val="1"/>
      <w:numFmt w:val="lowerLetter"/>
      <w:lvlText w:val="%1)"/>
      <w:lvlJc w:val="left"/>
      <w:pPr>
        <w:tabs>
          <w:tab w:val="num" w:pos="853"/>
        </w:tabs>
        <w:ind w:left="853" w:hanging="360"/>
      </w:pPr>
      <w:rPr>
        <w:rFonts w:ascii="Arial" w:eastAsia="Lucida Sans Unicode" w:hAnsi="Arial" w:cs="Arial" w:hint="default"/>
      </w:rPr>
    </w:lvl>
    <w:lvl w:ilvl="1">
      <w:start w:val="1"/>
      <w:numFmt w:val="bullet"/>
      <w:lvlText w:val="◦"/>
      <w:lvlJc w:val="left"/>
      <w:pPr>
        <w:tabs>
          <w:tab w:val="num" w:pos="1213"/>
        </w:tabs>
        <w:ind w:left="12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73"/>
        </w:tabs>
        <w:ind w:left="15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93"/>
        </w:tabs>
        <w:ind w:left="22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53"/>
        </w:tabs>
        <w:ind w:left="26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13"/>
        </w:tabs>
        <w:ind w:left="30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73"/>
        </w:tabs>
        <w:ind w:left="33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33"/>
        </w:tabs>
        <w:ind w:left="3733" w:hanging="360"/>
      </w:pPr>
      <w:rPr>
        <w:rFonts w:ascii="OpenSymbol" w:hAnsi="OpenSymbol" w:cs="OpenSymbol"/>
      </w:rPr>
    </w:lvl>
  </w:abstractNum>
  <w:abstractNum w:abstractNumId="18" w15:restartNumberingAfterBreak="0">
    <w:nsid w:val="2491026E"/>
    <w:multiLevelType w:val="hybridMultilevel"/>
    <w:tmpl w:val="EBF482C2"/>
    <w:lvl w:ilvl="0" w:tplc="B10EE8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F6D88"/>
    <w:multiLevelType w:val="hybridMultilevel"/>
    <w:tmpl w:val="86528278"/>
    <w:lvl w:ilvl="0" w:tplc="3592842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F6A1D"/>
    <w:multiLevelType w:val="hybridMultilevel"/>
    <w:tmpl w:val="7556D7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82073"/>
    <w:multiLevelType w:val="hybridMultilevel"/>
    <w:tmpl w:val="9118C7C8"/>
    <w:lvl w:ilvl="0" w:tplc="DACC415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77360"/>
    <w:multiLevelType w:val="hybridMultilevel"/>
    <w:tmpl w:val="ED7C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19"/>
  </w:num>
  <w:num w:numId="5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9D"/>
    <w:rsid w:val="000017D8"/>
    <w:rsid w:val="00001EFC"/>
    <w:rsid w:val="00006CD9"/>
    <w:rsid w:val="00007282"/>
    <w:rsid w:val="00011422"/>
    <w:rsid w:val="00011771"/>
    <w:rsid w:val="00011D0E"/>
    <w:rsid w:val="00013ECD"/>
    <w:rsid w:val="0002134A"/>
    <w:rsid w:val="0002449B"/>
    <w:rsid w:val="00027D1D"/>
    <w:rsid w:val="00031FA8"/>
    <w:rsid w:val="00032202"/>
    <w:rsid w:val="000377D5"/>
    <w:rsid w:val="00037842"/>
    <w:rsid w:val="00037AFA"/>
    <w:rsid w:val="0005023D"/>
    <w:rsid w:val="00061BA1"/>
    <w:rsid w:val="0006651F"/>
    <w:rsid w:val="0006708F"/>
    <w:rsid w:val="00067EAF"/>
    <w:rsid w:val="00084E3B"/>
    <w:rsid w:val="000A0157"/>
    <w:rsid w:val="000A1215"/>
    <w:rsid w:val="000A1AB0"/>
    <w:rsid w:val="000A2C35"/>
    <w:rsid w:val="000A32B3"/>
    <w:rsid w:val="000A3E10"/>
    <w:rsid w:val="000A3EAB"/>
    <w:rsid w:val="000A4899"/>
    <w:rsid w:val="000A4988"/>
    <w:rsid w:val="000A4B4B"/>
    <w:rsid w:val="000B268F"/>
    <w:rsid w:val="000B3657"/>
    <w:rsid w:val="000B380A"/>
    <w:rsid w:val="000B3A60"/>
    <w:rsid w:val="000B461D"/>
    <w:rsid w:val="000B4696"/>
    <w:rsid w:val="000B6273"/>
    <w:rsid w:val="000C0AE9"/>
    <w:rsid w:val="000C304C"/>
    <w:rsid w:val="000C45AB"/>
    <w:rsid w:val="000D0330"/>
    <w:rsid w:val="000D0CDE"/>
    <w:rsid w:val="000D3F48"/>
    <w:rsid w:val="000E30E5"/>
    <w:rsid w:val="000E3DE3"/>
    <w:rsid w:val="000F1130"/>
    <w:rsid w:val="000F2206"/>
    <w:rsid w:val="000F2523"/>
    <w:rsid w:val="000F4E51"/>
    <w:rsid w:val="000F6B98"/>
    <w:rsid w:val="00105AB9"/>
    <w:rsid w:val="0010644D"/>
    <w:rsid w:val="0010679C"/>
    <w:rsid w:val="001113E3"/>
    <w:rsid w:val="00111DC1"/>
    <w:rsid w:val="00111E04"/>
    <w:rsid w:val="001174F1"/>
    <w:rsid w:val="00120373"/>
    <w:rsid w:val="0012200B"/>
    <w:rsid w:val="00141447"/>
    <w:rsid w:val="001417C3"/>
    <w:rsid w:val="00142DA5"/>
    <w:rsid w:val="0014452A"/>
    <w:rsid w:val="001459FC"/>
    <w:rsid w:val="00146F2F"/>
    <w:rsid w:val="00161255"/>
    <w:rsid w:val="001625A5"/>
    <w:rsid w:val="00167876"/>
    <w:rsid w:val="001700E1"/>
    <w:rsid w:val="001737C5"/>
    <w:rsid w:val="00174D33"/>
    <w:rsid w:val="00175476"/>
    <w:rsid w:val="00175B3F"/>
    <w:rsid w:val="00175ED8"/>
    <w:rsid w:val="00177043"/>
    <w:rsid w:val="0017731B"/>
    <w:rsid w:val="0018127F"/>
    <w:rsid w:val="00186AA6"/>
    <w:rsid w:val="001918A4"/>
    <w:rsid w:val="00191EB6"/>
    <w:rsid w:val="001A0AA1"/>
    <w:rsid w:val="001A11EB"/>
    <w:rsid w:val="001A2C15"/>
    <w:rsid w:val="001A615A"/>
    <w:rsid w:val="001A720E"/>
    <w:rsid w:val="001B00C8"/>
    <w:rsid w:val="001B55B8"/>
    <w:rsid w:val="001B72AC"/>
    <w:rsid w:val="001C0954"/>
    <w:rsid w:val="001D0FE3"/>
    <w:rsid w:val="001D5E50"/>
    <w:rsid w:val="001E51D8"/>
    <w:rsid w:val="001E51F3"/>
    <w:rsid w:val="001E5E1E"/>
    <w:rsid w:val="001F16F8"/>
    <w:rsid w:val="001F2E46"/>
    <w:rsid w:val="001F56E1"/>
    <w:rsid w:val="001F6FC7"/>
    <w:rsid w:val="001F73DE"/>
    <w:rsid w:val="00200D20"/>
    <w:rsid w:val="00205643"/>
    <w:rsid w:val="00212853"/>
    <w:rsid w:val="002139D2"/>
    <w:rsid w:val="00217CA1"/>
    <w:rsid w:val="00221548"/>
    <w:rsid w:val="00224167"/>
    <w:rsid w:val="00232DC2"/>
    <w:rsid w:val="00235985"/>
    <w:rsid w:val="002364DC"/>
    <w:rsid w:val="00253099"/>
    <w:rsid w:val="0025328C"/>
    <w:rsid w:val="00254D2A"/>
    <w:rsid w:val="00267F24"/>
    <w:rsid w:val="00273D23"/>
    <w:rsid w:val="00277587"/>
    <w:rsid w:val="0028100E"/>
    <w:rsid w:val="00283382"/>
    <w:rsid w:val="002A3C4D"/>
    <w:rsid w:val="002A3EE4"/>
    <w:rsid w:val="002A3FD4"/>
    <w:rsid w:val="002A7CE4"/>
    <w:rsid w:val="002B298D"/>
    <w:rsid w:val="002B5D0E"/>
    <w:rsid w:val="002B68C4"/>
    <w:rsid w:val="002C064D"/>
    <w:rsid w:val="002C2A36"/>
    <w:rsid w:val="002C386C"/>
    <w:rsid w:val="002C4B13"/>
    <w:rsid w:val="002D5128"/>
    <w:rsid w:val="002E1BE2"/>
    <w:rsid w:val="002E4938"/>
    <w:rsid w:val="002E5AB0"/>
    <w:rsid w:val="002E7EFB"/>
    <w:rsid w:val="002F3255"/>
    <w:rsid w:val="002F511D"/>
    <w:rsid w:val="002F5177"/>
    <w:rsid w:val="00300247"/>
    <w:rsid w:val="00301CEA"/>
    <w:rsid w:val="003043E8"/>
    <w:rsid w:val="00310920"/>
    <w:rsid w:val="00312CFC"/>
    <w:rsid w:val="003165A4"/>
    <w:rsid w:val="00317271"/>
    <w:rsid w:val="003224BB"/>
    <w:rsid w:val="00323D36"/>
    <w:rsid w:val="003256E7"/>
    <w:rsid w:val="00332FBB"/>
    <w:rsid w:val="003347BC"/>
    <w:rsid w:val="00336407"/>
    <w:rsid w:val="003411B7"/>
    <w:rsid w:val="00344F4D"/>
    <w:rsid w:val="0034677F"/>
    <w:rsid w:val="00350007"/>
    <w:rsid w:val="0035004D"/>
    <w:rsid w:val="00354595"/>
    <w:rsid w:val="00354BCB"/>
    <w:rsid w:val="0035691F"/>
    <w:rsid w:val="00363EFC"/>
    <w:rsid w:val="003724AA"/>
    <w:rsid w:val="00372E13"/>
    <w:rsid w:val="003754E9"/>
    <w:rsid w:val="00382FD6"/>
    <w:rsid w:val="003869C8"/>
    <w:rsid w:val="00386CEF"/>
    <w:rsid w:val="003930A7"/>
    <w:rsid w:val="0039402F"/>
    <w:rsid w:val="00396837"/>
    <w:rsid w:val="00396D96"/>
    <w:rsid w:val="003A0A73"/>
    <w:rsid w:val="003A2243"/>
    <w:rsid w:val="003C6C50"/>
    <w:rsid w:val="003C6EF7"/>
    <w:rsid w:val="003D4E59"/>
    <w:rsid w:val="003D5C77"/>
    <w:rsid w:val="003E49B0"/>
    <w:rsid w:val="003E4DC6"/>
    <w:rsid w:val="003E57EA"/>
    <w:rsid w:val="003E59F9"/>
    <w:rsid w:val="003E6257"/>
    <w:rsid w:val="003E6B68"/>
    <w:rsid w:val="003E6C3B"/>
    <w:rsid w:val="003E70EB"/>
    <w:rsid w:val="003F7807"/>
    <w:rsid w:val="004036E6"/>
    <w:rsid w:val="00411CAA"/>
    <w:rsid w:val="0041298B"/>
    <w:rsid w:val="0041310B"/>
    <w:rsid w:val="00417324"/>
    <w:rsid w:val="0042061F"/>
    <w:rsid w:val="0042481C"/>
    <w:rsid w:val="00424E82"/>
    <w:rsid w:val="0042732C"/>
    <w:rsid w:val="00430BC1"/>
    <w:rsid w:val="004319C1"/>
    <w:rsid w:val="00431B41"/>
    <w:rsid w:val="004342A1"/>
    <w:rsid w:val="0043500F"/>
    <w:rsid w:val="004352AF"/>
    <w:rsid w:val="004354E5"/>
    <w:rsid w:val="00436AB2"/>
    <w:rsid w:val="0044102F"/>
    <w:rsid w:val="004420E1"/>
    <w:rsid w:val="00442C26"/>
    <w:rsid w:val="0044625E"/>
    <w:rsid w:val="004477AA"/>
    <w:rsid w:val="004526D5"/>
    <w:rsid w:val="004566EE"/>
    <w:rsid w:val="004647F4"/>
    <w:rsid w:val="00465CCD"/>
    <w:rsid w:val="00467D64"/>
    <w:rsid w:val="00472BF1"/>
    <w:rsid w:val="004731F0"/>
    <w:rsid w:val="00474959"/>
    <w:rsid w:val="00476E05"/>
    <w:rsid w:val="00480C39"/>
    <w:rsid w:val="00480F88"/>
    <w:rsid w:val="00481C98"/>
    <w:rsid w:val="004833D3"/>
    <w:rsid w:val="00484695"/>
    <w:rsid w:val="00490298"/>
    <w:rsid w:val="004925AD"/>
    <w:rsid w:val="00496719"/>
    <w:rsid w:val="00497552"/>
    <w:rsid w:val="004A3D50"/>
    <w:rsid w:val="004A589D"/>
    <w:rsid w:val="004A5B43"/>
    <w:rsid w:val="004B4A1A"/>
    <w:rsid w:val="004B78E5"/>
    <w:rsid w:val="004C12FA"/>
    <w:rsid w:val="004C33DA"/>
    <w:rsid w:val="004C3DD0"/>
    <w:rsid w:val="004C4DAC"/>
    <w:rsid w:val="004C6397"/>
    <w:rsid w:val="004C71F6"/>
    <w:rsid w:val="004C74B8"/>
    <w:rsid w:val="004C7C60"/>
    <w:rsid w:val="004C7C99"/>
    <w:rsid w:val="004D2FAB"/>
    <w:rsid w:val="004D3FE0"/>
    <w:rsid w:val="004E05AB"/>
    <w:rsid w:val="004E1ADE"/>
    <w:rsid w:val="004E1C30"/>
    <w:rsid w:val="004F08BC"/>
    <w:rsid w:val="004F14FE"/>
    <w:rsid w:val="004F4144"/>
    <w:rsid w:val="004F4E8C"/>
    <w:rsid w:val="0050654A"/>
    <w:rsid w:val="00507E63"/>
    <w:rsid w:val="00514D59"/>
    <w:rsid w:val="0051642C"/>
    <w:rsid w:val="005218ED"/>
    <w:rsid w:val="005259D8"/>
    <w:rsid w:val="00530AD3"/>
    <w:rsid w:val="005322CD"/>
    <w:rsid w:val="00532478"/>
    <w:rsid w:val="00533AF3"/>
    <w:rsid w:val="005347E0"/>
    <w:rsid w:val="0053789D"/>
    <w:rsid w:val="00542757"/>
    <w:rsid w:val="00545E91"/>
    <w:rsid w:val="00550E6D"/>
    <w:rsid w:val="005528FF"/>
    <w:rsid w:val="005552D6"/>
    <w:rsid w:val="0056165E"/>
    <w:rsid w:val="00561892"/>
    <w:rsid w:val="00566461"/>
    <w:rsid w:val="0057285D"/>
    <w:rsid w:val="00576BED"/>
    <w:rsid w:val="00581DCE"/>
    <w:rsid w:val="00582017"/>
    <w:rsid w:val="005828DD"/>
    <w:rsid w:val="005837D7"/>
    <w:rsid w:val="00593264"/>
    <w:rsid w:val="00597AE4"/>
    <w:rsid w:val="005A05B6"/>
    <w:rsid w:val="005A6D23"/>
    <w:rsid w:val="005A7AE0"/>
    <w:rsid w:val="005C275F"/>
    <w:rsid w:val="005C4317"/>
    <w:rsid w:val="005D1206"/>
    <w:rsid w:val="005D49DD"/>
    <w:rsid w:val="005D6E18"/>
    <w:rsid w:val="005E10D1"/>
    <w:rsid w:val="005E2726"/>
    <w:rsid w:val="005E40F6"/>
    <w:rsid w:val="005E75E6"/>
    <w:rsid w:val="005F0AD0"/>
    <w:rsid w:val="005F0EFC"/>
    <w:rsid w:val="005F164A"/>
    <w:rsid w:val="005F1668"/>
    <w:rsid w:val="005F332F"/>
    <w:rsid w:val="005F67AE"/>
    <w:rsid w:val="005F71FF"/>
    <w:rsid w:val="00601721"/>
    <w:rsid w:val="00603D46"/>
    <w:rsid w:val="00606A36"/>
    <w:rsid w:val="0061033A"/>
    <w:rsid w:val="006126AB"/>
    <w:rsid w:val="006174D6"/>
    <w:rsid w:val="00624330"/>
    <w:rsid w:val="00627816"/>
    <w:rsid w:val="00632D5A"/>
    <w:rsid w:val="00634A2F"/>
    <w:rsid w:val="006378CF"/>
    <w:rsid w:val="00637E2F"/>
    <w:rsid w:val="006415FA"/>
    <w:rsid w:val="00646B8E"/>
    <w:rsid w:val="00652D23"/>
    <w:rsid w:val="0065313D"/>
    <w:rsid w:val="00654BEF"/>
    <w:rsid w:val="0065710B"/>
    <w:rsid w:val="00662FA7"/>
    <w:rsid w:val="0066534B"/>
    <w:rsid w:val="00672A9A"/>
    <w:rsid w:val="00676082"/>
    <w:rsid w:val="006824AF"/>
    <w:rsid w:val="00683126"/>
    <w:rsid w:val="00686B25"/>
    <w:rsid w:val="00694DE1"/>
    <w:rsid w:val="006966C4"/>
    <w:rsid w:val="006A59AA"/>
    <w:rsid w:val="006A644D"/>
    <w:rsid w:val="006B2C2A"/>
    <w:rsid w:val="006B76DD"/>
    <w:rsid w:val="006C2234"/>
    <w:rsid w:val="006C37F5"/>
    <w:rsid w:val="006C60EF"/>
    <w:rsid w:val="006C6453"/>
    <w:rsid w:val="006C7A47"/>
    <w:rsid w:val="006D253F"/>
    <w:rsid w:val="006D68B8"/>
    <w:rsid w:val="006D6B6F"/>
    <w:rsid w:val="006E1881"/>
    <w:rsid w:val="006E34B2"/>
    <w:rsid w:val="006E68AA"/>
    <w:rsid w:val="006E75EA"/>
    <w:rsid w:val="006E7E28"/>
    <w:rsid w:val="006F2A85"/>
    <w:rsid w:val="006F2E60"/>
    <w:rsid w:val="006F64E4"/>
    <w:rsid w:val="006F712A"/>
    <w:rsid w:val="0070264C"/>
    <w:rsid w:val="00703E33"/>
    <w:rsid w:val="00714439"/>
    <w:rsid w:val="00715746"/>
    <w:rsid w:val="0071613B"/>
    <w:rsid w:val="00716409"/>
    <w:rsid w:val="0071644E"/>
    <w:rsid w:val="007171F5"/>
    <w:rsid w:val="00721D53"/>
    <w:rsid w:val="007279F1"/>
    <w:rsid w:val="00732D49"/>
    <w:rsid w:val="00733209"/>
    <w:rsid w:val="00745A6B"/>
    <w:rsid w:val="007505A5"/>
    <w:rsid w:val="00750947"/>
    <w:rsid w:val="00754124"/>
    <w:rsid w:val="0076089B"/>
    <w:rsid w:val="0077276C"/>
    <w:rsid w:val="00773952"/>
    <w:rsid w:val="00774989"/>
    <w:rsid w:val="00774FF8"/>
    <w:rsid w:val="0078004D"/>
    <w:rsid w:val="00780153"/>
    <w:rsid w:val="00780A59"/>
    <w:rsid w:val="00780A7D"/>
    <w:rsid w:val="00781DE3"/>
    <w:rsid w:val="0078295D"/>
    <w:rsid w:val="00783D35"/>
    <w:rsid w:val="00787EE2"/>
    <w:rsid w:val="007943DC"/>
    <w:rsid w:val="00794E06"/>
    <w:rsid w:val="0079505A"/>
    <w:rsid w:val="00795F82"/>
    <w:rsid w:val="007A1D8B"/>
    <w:rsid w:val="007A3F46"/>
    <w:rsid w:val="007A4319"/>
    <w:rsid w:val="007A60C0"/>
    <w:rsid w:val="007A68F0"/>
    <w:rsid w:val="007A71EE"/>
    <w:rsid w:val="007B092B"/>
    <w:rsid w:val="007B2C42"/>
    <w:rsid w:val="007B5A0E"/>
    <w:rsid w:val="007C1589"/>
    <w:rsid w:val="007C2602"/>
    <w:rsid w:val="007C2609"/>
    <w:rsid w:val="007C361E"/>
    <w:rsid w:val="007C6B4E"/>
    <w:rsid w:val="007D09C2"/>
    <w:rsid w:val="007D2903"/>
    <w:rsid w:val="007D460F"/>
    <w:rsid w:val="007D47C1"/>
    <w:rsid w:val="007D6300"/>
    <w:rsid w:val="007E0299"/>
    <w:rsid w:val="007E2F85"/>
    <w:rsid w:val="007E34A4"/>
    <w:rsid w:val="007E50D5"/>
    <w:rsid w:val="007E55EC"/>
    <w:rsid w:val="007F06A1"/>
    <w:rsid w:val="007F06B5"/>
    <w:rsid w:val="007F0CE3"/>
    <w:rsid w:val="007F2310"/>
    <w:rsid w:val="007F4E21"/>
    <w:rsid w:val="008004EF"/>
    <w:rsid w:val="00801FB7"/>
    <w:rsid w:val="00806023"/>
    <w:rsid w:val="00806F3B"/>
    <w:rsid w:val="0081581B"/>
    <w:rsid w:val="00816459"/>
    <w:rsid w:val="008241AC"/>
    <w:rsid w:val="00824801"/>
    <w:rsid w:val="008263BE"/>
    <w:rsid w:val="00832C62"/>
    <w:rsid w:val="00834336"/>
    <w:rsid w:val="00835EB6"/>
    <w:rsid w:val="008364F3"/>
    <w:rsid w:val="00837327"/>
    <w:rsid w:val="00844417"/>
    <w:rsid w:val="00853D85"/>
    <w:rsid w:val="00860CE7"/>
    <w:rsid w:val="00862675"/>
    <w:rsid w:val="00865F56"/>
    <w:rsid w:val="00866803"/>
    <w:rsid w:val="00866809"/>
    <w:rsid w:val="008677C2"/>
    <w:rsid w:val="00874ED6"/>
    <w:rsid w:val="008754FC"/>
    <w:rsid w:val="008829FA"/>
    <w:rsid w:val="0088647A"/>
    <w:rsid w:val="00886BC2"/>
    <w:rsid w:val="00890729"/>
    <w:rsid w:val="00896E57"/>
    <w:rsid w:val="008B3A35"/>
    <w:rsid w:val="008B48D7"/>
    <w:rsid w:val="008B4F7B"/>
    <w:rsid w:val="008B7E1B"/>
    <w:rsid w:val="008C1E91"/>
    <w:rsid w:val="008C2B77"/>
    <w:rsid w:val="008C2F64"/>
    <w:rsid w:val="008C56B2"/>
    <w:rsid w:val="008D13A0"/>
    <w:rsid w:val="008D640C"/>
    <w:rsid w:val="008E1F4A"/>
    <w:rsid w:val="008E3D70"/>
    <w:rsid w:val="008E7D26"/>
    <w:rsid w:val="008F0EBF"/>
    <w:rsid w:val="008F15A0"/>
    <w:rsid w:val="008F2E8A"/>
    <w:rsid w:val="008F5D6B"/>
    <w:rsid w:val="009001AF"/>
    <w:rsid w:val="00902BE5"/>
    <w:rsid w:val="0090355C"/>
    <w:rsid w:val="00904470"/>
    <w:rsid w:val="00904E2E"/>
    <w:rsid w:val="009109DE"/>
    <w:rsid w:val="00910CFC"/>
    <w:rsid w:val="00910D0E"/>
    <w:rsid w:val="009118B8"/>
    <w:rsid w:val="00916880"/>
    <w:rsid w:val="00916B5D"/>
    <w:rsid w:val="00920A52"/>
    <w:rsid w:val="00922000"/>
    <w:rsid w:val="009221A3"/>
    <w:rsid w:val="009258DB"/>
    <w:rsid w:val="009307E4"/>
    <w:rsid w:val="00935D61"/>
    <w:rsid w:val="00943A74"/>
    <w:rsid w:val="00944955"/>
    <w:rsid w:val="00944F3D"/>
    <w:rsid w:val="009450E6"/>
    <w:rsid w:val="00945F60"/>
    <w:rsid w:val="009540B4"/>
    <w:rsid w:val="00955567"/>
    <w:rsid w:val="00956481"/>
    <w:rsid w:val="00961776"/>
    <w:rsid w:val="0096560D"/>
    <w:rsid w:val="00965BBA"/>
    <w:rsid w:val="009666B8"/>
    <w:rsid w:val="00970EBD"/>
    <w:rsid w:val="0097283E"/>
    <w:rsid w:val="00974516"/>
    <w:rsid w:val="009833F5"/>
    <w:rsid w:val="00991F2E"/>
    <w:rsid w:val="00992C9D"/>
    <w:rsid w:val="009961C5"/>
    <w:rsid w:val="0099713F"/>
    <w:rsid w:val="00997C7B"/>
    <w:rsid w:val="009A03C4"/>
    <w:rsid w:val="009A4E81"/>
    <w:rsid w:val="009B464C"/>
    <w:rsid w:val="009B495F"/>
    <w:rsid w:val="009B4D48"/>
    <w:rsid w:val="009B618E"/>
    <w:rsid w:val="009C134D"/>
    <w:rsid w:val="009C234B"/>
    <w:rsid w:val="009C26B5"/>
    <w:rsid w:val="009C4DCA"/>
    <w:rsid w:val="009C63C9"/>
    <w:rsid w:val="009D0C5F"/>
    <w:rsid w:val="009D498D"/>
    <w:rsid w:val="009D5A5B"/>
    <w:rsid w:val="009D6380"/>
    <w:rsid w:val="009E1D95"/>
    <w:rsid w:val="009E4C19"/>
    <w:rsid w:val="009F594D"/>
    <w:rsid w:val="00A035B2"/>
    <w:rsid w:val="00A03D11"/>
    <w:rsid w:val="00A053F5"/>
    <w:rsid w:val="00A060E0"/>
    <w:rsid w:val="00A062AA"/>
    <w:rsid w:val="00A101C1"/>
    <w:rsid w:val="00A11C64"/>
    <w:rsid w:val="00A153B6"/>
    <w:rsid w:val="00A20538"/>
    <w:rsid w:val="00A221B9"/>
    <w:rsid w:val="00A365E1"/>
    <w:rsid w:val="00A42D7E"/>
    <w:rsid w:val="00A43A08"/>
    <w:rsid w:val="00A44295"/>
    <w:rsid w:val="00A442B2"/>
    <w:rsid w:val="00A4631E"/>
    <w:rsid w:val="00A46781"/>
    <w:rsid w:val="00A46FCE"/>
    <w:rsid w:val="00A4780D"/>
    <w:rsid w:val="00A501F1"/>
    <w:rsid w:val="00A5061B"/>
    <w:rsid w:val="00A53ADC"/>
    <w:rsid w:val="00A53DA7"/>
    <w:rsid w:val="00A56595"/>
    <w:rsid w:val="00A574B2"/>
    <w:rsid w:val="00A607AE"/>
    <w:rsid w:val="00A636E9"/>
    <w:rsid w:val="00A6488A"/>
    <w:rsid w:val="00A703A5"/>
    <w:rsid w:val="00A738DD"/>
    <w:rsid w:val="00A75380"/>
    <w:rsid w:val="00A75E26"/>
    <w:rsid w:val="00A80E1D"/>
    <w:rsid w:val="00A82CCD"/>
    <w:rsid w:val="00A9473F"/>
    <w:rsid w:val="00AA5D97"/>
    <w:rsid w:val="00AA6B00"/>
    <w:rsid w:val="00AB09EC"/>
    <w:rsid w:val="00AB0BF8"/>
    <w:rsid w:val="00AB0E1E"/>
    <w:rsid w:val="00AB16EE"/>
    <w:rsid w:val="00AB2929"/>
    <w:rsid w:val="00AB360D"/>
    <w:rsid w:val="00AB451C"/>
    <w:rsid w:val="00AB68A7"/>
    <w:rsid w:val="00AC1E83"/>
    <w:rsid w:val="00AC1F9D"/>
    <w:rsid w:val="00AC29D6"/>
    <w:rsid w:val="00AC687E"/>
    <w:rsid w:val="00AD2770"/>
    <w:rsid w:val="00AD3D18"/>
    <w:rsid w:val="00AD5C35"/>
    <w:rsid w:val="00AD7317"/>
    <w:rsid w:val="00AD745A"/>
    <w:rsid w:val="00AD7FA8"/>
    <w:rsid w:val="00AE3155"/>
    <w:rsid w:val="00AE69FD"/>
    <w:rsid w:val="00AF081C"/>
    <w:rsid w:val="00AF106C"/>
    <w:rsid w:val="00AF2908"/>
    <w:rsid w:val="00AF301A"/>
    <w:rsid w:val="00AF3653"/>
    <w:rsid w:val="00AF5DBD"/>
    <w:rsid w:val="00B00EC0"/>
    <w:rsid w:val="00B02A04"/>
    <w:rsid w:val="00B052D4"/>
    <w:rsid w:val="00B062E7"/>
    <w:rsid w:val="00B1439A"/>
    <w:rsid w:val="00B16824"/>
    <w:rsid w:val="00B20837"/>
    <w:rsid w:val="00B20D55"/>
    <w:rsid w:val="00B218EA"/>
    <w:rsid w:val="00B2314D"/>
    <w:rsid w:val="00B26A5B"/>
    <w:rsid w:val="00B340E4"/>
    <w:rsid w:val="00B3743C"/>
    <w:rsid w:val="00B50C42"/>
    <w:rsid w:val="00B519FE"/>
    <w:rsid w:val="00B551D5"/>
    <w:rsid w:val="00B576B3"/>
    <w:rsid w:val="00B63129"/>
    <w:rsid w:val="00B64466"/>
    <w:rsid w:val="00B66470"/>
    <w:rsid w:val="00B67AE5"/>
    <w:rsid w:val="00B74241"/>
    <w:rsid w:val="00B76147"/>
    <w:rsid w:val="00B81B48"/>
    <w:rsid w:val="00B87189"/>
    <w:rsid w:val="00B916A4"/>
    <w:rsid w:val="00B92DD6"/>
    <w:rsid w:val="00B93FBC"/>
    <w:rsid w:val="00B947CE"/>
    <w:rsid w:val="00BA4503"/>
    <w:rsid w:val="00BA6695"/>
    <w:rsid w:val="00BA6CFF"/>
    <w:rsid w:val="00BA7EFE"/>
    <w:rsid w:val="00BA7F49"/>
    <w:rsid w:val="00BC0D82"/>
    <w:rsid w:val="00BC4511"/>
    <w:rsid w:val="00BC566C"/>
    <w:rsid w:val="00BD5A9D"/>
    <w:rsid w:val="00BD6022"/>
    <w:rsid w:val="00BF7000"/>
    <w:rsid w:val="00BF78AE"/>
    <w:rsid w:val="00C01082"/>
    <w:rsid w:val="00C02FB5"/>
    <w:rsid w:val="00C0781B"/>
    <w:rsid w:val="00C07CA0"/>
    <w:rsid w:val="00C12119"/>
    <w:rsid w:val="00C261F7"/>
    <w:rsid w:val="00C26F2D"/>
    <w:rsid w:val="00C270FF"/>
    <w:rsid w:val="00C317B1"/>
    <w:rsid w:val="00C323E6"/>
    <w:rsid w:val="00C33C11"/>
    <w:rsid w:val="00C34865"/>
    <w:rsid w:val="00C34FFE"/>
    <w:rsid w:val="00C52130"/>
    <w:rsid w:val="00C52669"/>
    <w:rsid w:val="00C57062"/>
    <w:rsid w:val="00C6130D"/>
    <w:rsid w:val="00C6562A"/>
    <w:rsid w:val="00C70E2F"/>
    <w:rsid w:val="00C72C7A"/>
    <w:rsid w:val="00C7401E"/>
    <w:rsid w:val="00C77595"/>
    <w:rsid w:val="00C779B5"/>
    <w:rsid w:val="00C82CE7"/>
    <w:rsid w:val="00C838EA"/>
    <w:rsid w:val="00C83AA1"/>
    <w:rsid w:val="00C8440D"/>
    <w:rsid w:val="00C85DC0"/>
    <w:rsid w:val="00C90A2F"/>
    <w:rsid w:val="00C92F8C"/>
    <w:rsid w:val="00CA06C8"/>
    <w:rsid w:val="00CA075D"/>
    <w:rsid w:val="00CA0F15"/>
    <w:rsid w:val="00CA4BDE"/>
    <w:rsid w:val="00CA60E8"/>
    <w:rsid w:val="00CA6591"/>
    <w:rsid w:val="00CA680D"/>
    <w:rsid w:val="00CB08A1"/>
    <w:rsid w:val="00CB56E2"/>
    <w:rsid w:val="00CB6140"/>
    <w:rsid w:val="00CB7169"/>
    <w:rsid w:val="00CC0AF7"/>
    <w:rsid w:val="00CC1976"/>
    <w:rsid w:val="00CC4FEF"/>
    <w:rsid w:val="00CD1B18"/>
    <w:rsid w:val="00CD2EBF"/>
    <w:rsid w:val="00CD7F94"/>
    <w:rsid w:val="00CE19FF"/>
    <w:rsid w:val="00CE58E5"/>
    <w:rsid w:val="00D005C0"/>
    <w:rsid w:val="00D071DD"/>
    <w:rsid w:val="00D07A8E"/>
    <w:rsid w:val="00D07C89"/>
    <w:rsid w:val="00D113C0"/>
    <w:rsid w:val="00D13B7F"/>
    <w:rsid w:val="00D15C8D"/>
    <w:rsid w:val="00D20063"/>
    <w:rsid w:val="00D2092C"/>
    <w:rsid w:val="00D220B4"/>
    <w:rsid w:val="00D2385B"/>
    <w:rsid w:val="00D26CA9"/>
    <w:rsid w:val="00D27D54"/>
    <w:rsid w:val="00D315BF"/>
    <w:rsid w:val="00D31B04"/>
    <w:rsid w:val="00D40F65"/>
    <w:rsid w:val="00D463BF"/>
    <w:rsid w:val="00D4689D"/>
    <w:rsid w:val="00D47726"/>
    <w:rsid w:val="00D5269B"/>
    <w:rsid w:val="00D54412"/>
    <w:rsid w:val="00D5567C"/>
    <w:rsid w:val="00D63F09"/>
    <w:rsid w:val="00D648E5"/>
    <w:rsid w:val="00D65509"/>
    <w:rsid w:val="00D65DC2"/>
    <w:rsid w:val="00D704E5"/>
    <w:rsid w:val="00D7399C"/>
    <w:rsid w:val="00D73DF3"/>
    <w:rsid w:val="00D75759"/>
    <w:rsid w:val="00D762B9"/>
    <w:rsid w:val="00D805F4"/>
    <w:rsid w:val="00D8061A"/>
    <w:rsid w:val="00D81596"/>
    <w:rsid w:val="00D82BEE"/>
    <w:rsid w:val="00D84188"/>
    <w:rsid w:val="00D874D1"/>
    <w:rsid w:val="00D91236"/>
    <w:rsid w:val="00D91E08"/>
    <w:rsid w:val="00D93DFD"/>
    <w:rsid w:val="00D95A1B"/>
    <w:rsid w:val="00DA0238"/>
    <w:rsid w:val="00DA0A7A"/>
    <w:rsid w:val="00DA282D"/>
    <w:rsid w:val="00DA4502"/>
    <w:rsid w:val="00DA578F"/>
    <w:rsid w:val="00DA7DAD"/>
    <w:rsid w:val="00DB1018"/>
    <w:rsid w:val="00DB1E7C"/>
    <w:rsid w:val="00DB22A5"/>
    <w:rsid w:val="00DB6475"/>
    <w:rsid w:val="00DC124A"/>
    <w:rsid w:val="00DC3EC8"/>
    <w:rsid w:val="00DD1614"/>
    <w:rsid w:val="00DD2169"/>
    <w:rsid w:val="00DD4109"/>
    <w:rsid w:val="00DD4AEB"/>
    <w:rsid w:val="00DD572C"/>
    <w:rsid w:val="00DE08E1"/>
    <w:rsid w:val="00DE1B71"/>
    <w:rsid w:val="00E00531"/>
    <w:rsid w:val="00E00FEC"/>
    <w:rsid w:val="00E03B19"/>
    <w:rsid w:val="00E110C5"/>
    <w:rsid w:val="00E115A5"/>
    <w:rsid w:val="00E1167B"/>
    <w:rsid w:val="00E16E96"/>
    <w:rsid w:val="00E24389"/>
    <w:rsid w:val="00E25CEF"/>
    <w:rsid w:val="00E31771"/>
    <w:rsid w:val="00E3194F"/>
    <w:rsid w:val="00E32A87"/>
    <w:rsid w:val="00E339C1"/>
    <w:rsid w:val="00E34EE9"/>
    <w:rsid w:val="00E37E68"/>
    <w:rsid w:val="00E421B6"/>
    <w:rsid w:val="00E42C00"/>
    <w:rsid w:val="00E42E33"/>
    <w:rsid w:val="00E43433"/>
    <w:rsid w:val="00E44390"/>
    <w:rsid w:val="00E443F5"/>
    <w:rsid w:val="00E44EDB"/>
    <w:rsid w:val="00E46D88"/>
    <w:rsid w:val="00E5265B"/>
    <w:rsid w:val="00E5766F"/>
    <w:rsid w:val="00E57AD5"/>
    <w:rsid w:val="00E57DE9"/>
    <w:rsid w:val="00E66623"/>
    <w:rsid w:val="00E718C7"/>
    <w:rsid w:val="00E843F9"/>
    <w:rsid w:val="00E8552A"/>
    <w:rsid w:val="00E876DA"/>
    <w:rsid w:val="00E908F0"/>
    <w:rsid w:val="00E92D3A"/>
    <w:rsid w:val="00E9414B"/>
    <w:rsid w:val="00E95AEA"/>
    <w:rsid w:val="00E9740F"/>
    <w:rsid w:val="00EA181E"/>
    <w:rsid w:val="00EA32B3"/>
    <w:rsid w:val="00EA34CB"/>
    <w:rsid w:val="00EA4A09"/>
    <w:rsid w:val="00EA77F6"/>
    <w:rsid w:val="00EB0D99"/>
    <w:rsid w:val="00EC1295"/>
    <w:rsid w:val="00EC2F20"/>
    <w:rsid w:val="00EC427F"/>
    <w:rsid w:val="00EC4C55"/>
    <w:rsid w:val="00EC6539"/>
    <w:rsid w:val="00EC7981"/>
    <w:rsid w:val="00ED2FA2"/>
    <w:rsid w:val="00ED6D83"/>
    <w:rsid w:val="00EE299B"/>
    <w:rsid w:val="00EE3662"/>
    <w:rsid w:val="00EF24D3"/>
    <w:rsid w:val="00EF33B4"/>
    <w:rsid w:val="00EF798E"/>
    <w:rsid w:val="00F02A3D"/>
    <w:rsid w:val="00F04DDF"/>
    <w:rsid w:val="00F138C1"/>
    <w:rsid w:val="00F15ABC"/>
    <w:rsid w:val="00F1690A"/>
    <w:rsid w:val="00F21B07"/>
    <w:rsid w:val="00F23086"/>
    <w:rsid w:val="00F3267E"/>
    <w:rsid w:val="00F347F1"/>
    <w:rsid w:val="00F348AB"/>
    <w:rsid w:val="00F45B03"/>
    <w:rsid w:val="00F45D1A"/>
    <w:rsid w:val="00F515F0"/>
    <w:rsid w:val="00F51B51"/>
    <w:rsid w:val="00F5273D"/>
    <w:rsid w:val="00F56749"/>
    <w:rsid w:val="00F632F7"/>
    <w:rsid w:val="00F641F2"/>
    <w:rsid w:val="00F643ED"/>
    <w:rsid w:val="00F655E6"/>
    <w:rsid w:val="00F656B0"/>
    <w:rsid w:val="00F676E4"/>
    <w:rsid w:val="00F73DE7"/>
    <w:rsid w:val="00F77BFE"/>
    <w:rsid w:val="00F81794"/>
    <w:rsid w:val="00F84314"/>
    <w:rsid w:val="00F851BE"/>
    <w:rsid w:val="00F86C42"/>
    <w:rsid w:val="00F948F4"/>
    <w:rsid w:val="00F954D2"/>
    <w:rsid w:val="00F95E7E"/>
    <w:rsid w:val="00FA3E10"/>
    <w:rsid w:val="00FB5C25"/>
    <w:rsid w:val="00FB6A1A"/>
    <w:rsid w:val="00FB6EAE"/>
    <w:rsid w:val="00FC0912"/>
    <w:rsid w:val="00FD04CD"/>
    <w:rsid w:val="00FD0657"/>
    <w:rsid w:val="00FD0689"/>
    <w:rsid w:val="00FE4505"/>
    <w:rsid w:val="00FE61CD"/>
    <w:rsid w:val="00FE61F5"/>
    <w:rsid w:val="00FF07CF"/>
    <w:rsid w:val="00FF1327"/>
    <w:rsid w:val="00FF403A"/>
    <w:rsid w:val="00F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1AE2C64-68F1-462D-B292-FB68EB6D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89D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sid w:val="004A589D"/>
    <w:rPr>
      <w:sz w:val="16"/>
      <w:szCs w:val="16"/>
    </w:rPr>
  </w:style>
  <w:style w:type="character" w:customStyle="1" w:styleId="txt-new">
    <w:name w:val="txt-new"/>
    <w:basedOn w:val="Domylnaczcionkaakapitu"/>
    <w:rsid w:val="004A589D"/>
  </w:style>
  <w:style w:type="character" w:customStyle="1" w:styleId="luchili">
    <w:name w:val="luc_hili"/>
    <w:basedOn w:val="Domylnaczcionkaakapitu"/>
    <w:rsid w:val="004A589D"/>
  </w:style>
  <w:style w:type="paragraph" w:styleId="Tekstpodstawowy">
    <w:name w:val="Body Text"/>
    <w:basedOn w:val="Normalny"/>
    <w:link w:val="TekstpodstawowyZnak"/>
    <w:rsid w:val="004A589D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4A589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4A589D"/>
    <w:pPr>
      <w:ind w:left="369"/>
      <w:jc w:val="both"/>
    </w:pPr>
    <w:rPr>
      <w:lang w:val="x-none"/>
    </w:rPr>
  </w:style>
  <w:style w:type="character" w:customStyle="1" w:styleId="TekstpodstawowywcityZnak">
    <w:name w:val="Tekst podstawowy wcięty Znak"/>
    <w:link w:val="Tekstpodstawowywcity"/>
    <w:rsid w:val="004A589D"/>
    <w:rPr>
      <w:rFonts w:ascii="Times New Roman" w:eastAsia="Lucida Sans Unicode" w:hAnsi="Times New Roman" w:cs="Arial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A589D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4A589D"/>
    <w:rPr>
      <w:rFonts w:ascii="Arial" w:hAnsi="Arial"/>
      <w:sz w:val="24"/>
      <w:szCs w:val="22"/>
      <w:lang w:eastAsia="en-US"/>
    </w:rPr>
  </w:style>
  <w:style w:type="paragraph" w:customStyle="1" w:styleId="Default">
    <w:name w:val="Default"/>
    <w:rsid w:val="004A58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F0EF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F0EFC"/>
    <w:rPr>
      <w:rFonts w:ascii="Times New Roman" w:eastAsia="Lucida Sans Unicode" w:hAnsi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F0EF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0EFC"/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rsid w:val="00EE299B"/>
    <w:rPr>
      <w:rFonts w:ascii="Arial" w:hAnsi="Arial"/>
      <w:sz w:val="24"/>
      <w:szCs w:val="22"/>
      <w:lang w:eastAsia="en-US" w:bidi="ar-SA"/>
    </w:rPr>
  </w:style>
  <w:style w:type="character" w:customStyle="1" w:styleId="alb">
    <w:name w:val="a_lb"/>
    <w:rsid w:val="002C386C"/>
  </w:style>
  <w:style w:type="paragraph" w:styleId="NormalnyWeb">
    <w:name w:val="Normal (Web)"/>
    <w:basedOn w:val="Normalny"/>
    <w:uiPriority w:val="99"/>
    <w:semiHidden/>
    <w:unhideWhenUsed/>
    <w:rsid w:val="0070264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alb-s">
    <w:name w:val="a_lb-s"/>
    <w:rsid w:val="0070264C"/>
  </w:style>
  <w:style w:type="character" w:customStyle="1" w:styleId="fn-ref">
    <w:name w:val="fn-ref"/>
    <w:rsid w:val="0070264C"/>
  </w:style>
  <w:style w:type="paragraph" w:styleId="Tekstdymka">
    <w:name w:val="Balloon Text"/>
    <w:basedOn w:val="Normalny"/>
    <w:link w:val="TekstdymkaZnak"/>
    <w:uiPriority w:val="99"/>
    <w:semiHidden/>
    <w:unhideWhenUsed/>
    <w:rsid w:val="00006CD9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06CD9"/>
    <w:rPr>
      <w:rFonts w:ascii="Segoe UI" w:eastAsia="Lucida Sans Unicode" w:hAnsi="Segoe UI" w:cs="Segoe UI"/>
      <w:kern w:val="1"/>
      <w:sz w:val="18"/>
      <w:szCs w:val="18"/>
      <w:lang w:eastAsia="zh-CN"/>
    </w:rPr>
  </w:style>
  <w:style w:type="character" w:customStyle="1" w:styleId="FontStyle34">
    <w:name w:val="Font Style34"/>
    <w:rsid w:val="00676082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676082"/>
    <w:pPr>
      <w:autoSpaceDE w:val="0"/>
    </w:pPr>
    <w:rPr>
      <w:rFonts w:eastAsia="Times New Roman"/>
      <w:kern w:val="0"/>
    </w:rPr>
  </w:style>
  <w:style w:type="paragraph" w:customStyle="1" w:styleId="ust">
    <w:name w:val="ust"/>
    <w:rsid w:val="0035459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354595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lang w:eastAsia="pl-PL"/>
    </w:rPr>
  </w:style>
  <w:style w:type="character" w:styleId="Uwydatnienie">
    <w:name w:val="Emphasis"/>
    <w:uiPriority w:val="20"/>
    <w:qFormat/>
    <w:rsid w:val="000E30E5"/>
    <w:rPr>
      <w:i/>
      <w:iCs/>
    </w:rPr>
  </w:style>
  <w:style w:type="character" w:customStyle="1" w:styleId="Teksttreci74">
    <w:name w:val="Tekst treści74"/>
    <w:rsid w:val="00DD572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0F15"/>
    <w:pPr>
      <w:widowControl/>
      <w:suppressAutoHyphens w:val="0"/>
    </w:pPr>
    <w:rPr>
      <w:rFonts w:eastAsia="Times New Roman"/>
      <w:kern w:val="0"/>
      <w:sz w:val="20"/>
      <w:szCs w:val="20"/>
      <w:lang w:eastAsia="pl-PL" w:bidi="en-US"/>
    </w:rPr>
  </w:style>
  <w:style w:type="character" w:customStyle="1" w:styleId="TekstprzypisudolnegoZnak">
    <w:name w:val="Tekst przypisu dolnego Znak"/>
    <w:link w:val="Tekstprzypisudolnego"/>
    <w:uiPriority w:val="99"/>
    <w:rsid w:val="00CA0F15"/>
    <w:rPr>
      <w:rFonts w:ascii="Times New Roman" w:eastAsia="Times New Roman" w:hAnsi="Times New Roman"/>
      <w:lang w:bidi="en-US"/>
    </w:rPr>
  </w:style>
  <w:style w:type="character" w:styleId="Odwoanieprzypisudolnego">
    <w:name w:val="footnote reference"/>
    <w:uiPriority w:val="99"/>
    <w:semiHidden/>
    <w:unhideWhenUsed/>
    <w:rsid w:val="00CA0F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9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7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6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3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3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9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2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3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0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5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7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4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4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6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1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2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1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9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8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5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FD91-D764-468A-ABD7-9159A0A02C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3A7A91-9094-4177-A6E6-C2F8DBFC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2798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korelx</dc:creator>
  <cp:keywords/>
  <cp:lastModifiedBy>Okoniewska Joanna</cp:lastModifiedBy>
  <cp:revision>2</cp:revision>
  <cp:lastPrinted>2021-10-28T11:00:00Z</cp:lastPrinted>
  <dcterms:created xsi:type="dcterms:W3CDTF">2025-04-29T11:41:00Z</dcterms:created>
  <dcterms:modified xsi:type="dcterms:W3CDTF">2025-04-29T11:41:00Z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ba5d047b-a76a-4a93-96bc-546aae4f3c8b</vt:lpwstr>
  </property>
  <property fmtid="{D5CDD505-2E9C-101B-9397-08002B2CF9AE}" pid="3" name="bjSaver">
    <vt:lpwstr>UuocfSJ1i8MZHp8gsRHSCwRTTddJbUEH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korelx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10.90.81.99</vt:lpwstr>
  </property>
</Properties>
</file>